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A86" w:rsidRPr="000D45E5" w:rsidRDefault="005F6A86" w:rsidP="005F6A86">
      <w:pPr>
        <w:jc w:val="left"/>
        <w:rPr>
          <w:rFonts w:ascii="Century Gothic" w:hAnsi="Century Gothic" w:cs="Calibri"/>
          <w:b/>
          <w:color w:val="000000"/>
          <w:sz w:val="22"/>
          <w:szCs w:val="32"/>
        </w:rPr>
      </w:pPr>
      <w:bookmarkStart w:id="0" w:name="_GoBack"/>
      <w:bookmarkEnd w:id="0"/>
    </w:p>
    <w:p w:rsidR="005F6A86" w:rsidRDefault="005F6A86" w:rsidP="005F6A86">
      <w:pPr>
        <w:jc w:val="center"/>
        <w:rPr>
          <w:rFonts w:ascii="Century Gothic" w:hAnsi="Century Gothic" w:cs="Calibri"/>
          <w:b/>
          <w:color w:val="000000"/>
          <w:sz w:val="32"/>
          <w:szCs w:val="32"/>
        </w:rPr>
      </w:pPr>
    </w:p>
    <w:p w:rsidR="005F6A86" w:rsidRDefault="005F6A86" w:rsidP="005F6A86">
      <w:pPr>
        <w:jc w:val="center"/>
        <w:rPr>
          <w:rFonts w:ascii="Century Gothic" w:hAnsi="Century Gothic" w:cs="Calibri"/>
          <w:b/>
          <w:color w:val="000000"/>
          <w:sz w:val="32"/>
          <w:szCs w:val="32"/>
        </w:rPr>
      </w:pPr>
    </w:p>
    <w:p w:rsidR="005F6A86" w:rsidRPr="000D45E5" w:rsidRDefault="005F6A86" w:rsidP="005F6A86">
      <w:pPr>
        <w:jc w:val="center"/>
        <w:rPr>
          <w:rFonts w:ascii="Century Gothic" w:hAnsi="Century Gothic" w:cs="Calibri"/>
          <w:b/>
          <w:color w:val="000000"/>
          <w:sz w:val="32"/>
          <w:szCs w:val="32"/>
        </w:rPr>
      </w:pPr>
      <w:r>
        <w:rPr>
          <w:rFonts w:ascii="Century Gothic" w:hAnsi="Century Gothic" w:cs="Calibri"/>
          <w:b/>
          <w:noProof/>
          <w:color w:val="000000"/>
          <w:sz w:val="32"/>
          <w:szCs w:val="32"/>
          <w:lang w:val="en-MY" w:eastAsia="en-MY"/>
        </w:rPr>
        <mc:AlternateContent>
          <mc:Choice Requires="wps">
            <w:drawing>
              <wp:anchor distT="0" distB="0" distL="114300" distR="114300" simplePos="0" relativeHeight="251659264" behindDoc="1" locked="0" layoutInCell="1" allowOverlap="1">
                <wp:simplePos x="0" y="0"/>
                <wp:positionH relativeFrom="margin">
                  <wp:posOffset>1981200</wp:posOffset>
                </wp:positionH>
                <wp:positionV relativeFrom="margin">
                  <wp:posOffset>285750</wp:posOffset>
                </wp:positionV>
                <wp:extent cx="4318000" cy="642620"/>
                <wp:effectExtent l="7620" t="5080" r="8255"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00" cy="642620"/>
                        </a:xfrm>
                        <a:prstGeom prst="roundRect">
                          <a:avLst>
                            <a:gd name="adj" fmla="val 16667"/>
                          </a:avLst>
                        </a:prstGeom>
                        <a:solidFill>
                          <a:srgbClr val="DEEAF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F6A86" w:rsidRPr="004D097A" w:rsidRDefault="005F6A86" w:rsidP="005F6A86">
                            <w:pPr>
                              <w:jc w:val="center"/>
                              <w:rPr>
                                <w:b/>
                                <w:sz w:val="32"/>
                                <w:szCs w:val="32"/>
                                <w:lang w:val="en-MY"/>
                              </w:rPr>
                            </w:pPr>
                            <w:r w:rsidRPr="00783BBD">
                              <w:rPr>
                                <w:b/>
                                <w:sz w:val="32"/>
                                <w:szCs w:val="32"/>
                                <w:lang w:val="en-MY"/>
                              </w:rPr>
                              <w:t>Original Article</w:t>
                            </w:r>
                            <w:r>
                              <w:rPr>
                                <w:b/>
                                <w:sz w:val="32"/>
                                <w:szCs w:val="32"/>
                                <w:lang w:val="en-MY"/>
                              </w:rPr>
                              <w:t>/</w:t>
                            </w:r>
                            <w:r>
                              <w:t xml:space="preserve"> </w:t>
                            </w:r>
                            <w:r>
                              <w:rPr>
                                <w:b/>
                                <w:sz w:val="32"/>
                                <w:szCs w:val="32"/>
                                <w:lang w:val="en-MY"/>
                              </w:rPr>
                              <w:t>Review Article/ Short Communication</w:t>
                            </w:r>
                            <w:r w:rsidRPr="00783BBD">
                              <w:rPr>
                                <w:b/>
                                <w:sz w:val="32"/>
                                <w:szCs w:val="32"/>
                                <w:lang w:val="en-MY"/>
                              </w:rPr>
                              <w:t>/ Case Report</w:t>
                            </w:r>
                            <w:r>
                              <w:rPr>
                                <w:b/>
                                <w:sz w:val="32"/>
                                <w:szCs w:val="32"/>
                                <w:lang w:val="en-MY"/>
                              </w:rPr>
                              <w:t>/ Book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156pt;margin-top:22.5pt;width:340pt;height:50.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" fillcolor="#deeaf6" stroked="f">
                <v:path arrowok="t"/>
                <v:textbox>
                  <w:txbxContent>
                    <w:p w:rsidR="005F6A86" w:rsidRPr="004D097A" w:rsidRDefault="005F6A86" w:rsidP="005F6A86">
                      <w:pPr>
                        <w:jc w:val="center"/>
                        <w:rPr>
                          <w:b/>
                          <w:sz w:val="32"/>
                          <w:szCs w:val="32"/>
                          <w:lang w:val="en-MY"/>
                        </w:rPr>
                      </w:pPr>
                      <w:r w:rsidRPr="00783BBD">
                        <w:rPr>
                          <w:b/>
                          <w:sz w:val="32"/>
                          <w:szCs w:val="32"/>
                          <w:lang w:val="en-MY"/>
                        </w:rPr>
                        <w:t>Original Article</w:t>
                      </w:r>
                      <w:r>
                        <w:rPr>
                          <w:b/>
                          <w:sz w:val="32"/>
                          <w:szCs w:val="32"/>
                          <w:lang w:val="en-MY"/>
                        </w:rPr>
                        <w:t>/</w:t>
                      </w:r>
                      <w:r>
                        <w:t xml:space="preserve"> </w:t>
                      </w:r>
                      <w:r>
                        <w:rPr>
                          <w:b/>
                          <w:sz w:val="32"/>
                          <w:szCs w:val="32"/>
                          <w:lang w:val="en-MY"/>
                        </w:rPr>
                        <w:t>Review Article/ Short Communication</w:t>
                      </w:r>
                      <w:r w:rsidRPr="00783BBD">
                        <w:rPr>
                          <w:b/>
                          <w:sz w:val="32"/>
                          <w:szCs w:val="32"/>
                          <w:lang w:val="en-MY"/>
                        </w:rPr>
                        <w:t>/ Case Report</w:t>
                      </w:r>
                      <w:r>
                        <w:rPr>
                          <w:b/>
                          <w:sz w:val="32"/>
                          <w:szCs w:val="32"/>
                          <w:lang w:val="en-MY"/>
                        </w:rPr>
                        <w:t>/ Book Review</w:t>
                      </w:r>
                    </w:p>
                  </w:txbxContent>
                </v:textbox>
                <w10:wrap anchorx="margin" anchory="margin"/>
              </v:roundrect>
            </w:pict>
          </mc:Fallback>
        </mc:AlternateContent>
      </w:r>
    </w:p>
    <w:p w:rsidR="005F6A86" w:rsidRPr="000D45E5" w:rsidRDefault="005F6A86" w:rsidP="005F6A86">
      <w:pPr>
        <w:rPr>
          <w:b/>
          <w:color w:val="000000"/>
          <w:sz w:val="32"/>
          <w:szCs w:val="32"/>
        </w:rPr>
      </w:pPr>
      <w:r w:rsidRPr="000D45E5">
        <w:rPr>
          <w:b/>
          <w:color w:val="000000"/>
          <w:sz w:val="32"/>
          <w:szCs w:val="32"/>
        </w:rPr>
        <w:t>Paper Title (16 Bold)</w:t>
      </w:r>
    </w:p>
    <w:p w:rsidR="005F6A86" w:rsidRPr="000D45E5" w:rsidRDefault="005F6A86" w:rsidP="005F6A86">
      <w:pPr>
        <w:spacing w:before="80" w:line="210" w:lineRule="exact"/>
        <w:ind w:right="706"/>
        <w:rPr>
          <w:color w:val="000000"/>
          <w:sz w:val="18"/>
          <w:szCs w:val="18"/>
        </w:rPr>
      </w:pPr>
    </w:p>
    <w:p w:rsidR="005F6A86" w:rsidRPr="000D45E5" w:rsidRDefault="005F6A86" w:rsidP="005F6A86">
      <w:pPr>
        <w:spacing w:after="0"/>
        <w:ind w:right="706"/>
        <w:rPr>
          <w:color w:val="000000"/>
          <w:sz w:val="18"/>
          <w:szCs w:val="18"/>
          <w:vertAlign w:val="superscript"/>
        </w:rPr>
      </w:pPr>
      <w:r w:rsidRPr="000D45E5">
        <w:rPr>
          <w:color w:val="000000"/>
          <w:sz w:val="18"/>
          <w:szCs w:val="18"/>
        </w:rPr>
        <w:t>Author</w:t>
      </w:r>
      <w:proofErr w:type="gramStart"/>
      <w:r w:rsidRPr="000D45E5">
        <w:rPr>
          <w:color w:val="000000"/>
          <w:sz w:val="18"/>
          <w:szCs w:val="18"/>
        </w:rPr>
        <w:t>1,</w:t>
      </w:r>
      <w:r w:rsidRPr="000D45E5">
        <w:rPr>
          <w:color w:val="000000"/>
          <w:sz w:val="18"/>
          <w:szCs w:val="18"/>
          <w:vertAlign w:val="superscript"/>
        </w:rPr>
        <w:t>a</w:t>
      </w:r>
      <w:proofErr w:type="gramEnd"/>
      <w:r w:rsidRPr="000D45E5">
        <w:rPr>
          <w:color w:val="000000"/>
          <w:sz w:val="18"/>
          <w:szCs w:val="18"/>
          <w:vertAlign w:val="superscript"/>
        </w:rPr>
        <w:t>,</w:t>
      </w:r>
      <w:r w:rsidRPr="000D45E5">
        <w:rPr>
          <w:color w:val="000000"/>
          <w:sz w:val="18"/>
          <w:szCs w:val="18"/>
        </w:rPr>
        <w:t>* Author2,</w:t>
      </w:r>
      <w:r w:rsidRPr="000D45E5">
        <w:rPr>
          <w:color w:val="000000"/>
          <w:sz w:val="18"/>
          <w:szCs w:val="18"/>
          <w:vertAlign w:val="superscript"/>
        </w:rPr>
        <w:t>a</w:t>
      </w:r>
      <w:r w:rsidRPr="000D45E5">
        <w:rPr>
          <w:color w:val="000000"/>
          <w:sz w:val="18"/>
          <w:szCs w:val="18"/>
        </w:rPr>
        <w:t xml:space="preserve"> Author3,</w:t>
      </w:r>
      <w:r w:rsidRPr="000D45E5">
        <w:rPr>
          <w:color w:val="000000"/>
          <w:sz w:val="18"/>
          <w:szCs w:val="18"/>
          <w:vertAlign w:val="superscript"/>
        </w:rPr>
        <w:t>b</w:t>
      </w:r>
      <w:r w:rsidRPr="000D45E5">
        <w:rPr>
          <w:color w:val="000000"/>
          <w:sz w:val="18"/>
          <w:szCs w:val="18"/>
        </w:rPr>
        <w:t xml:space="preserve"> Author4</w:t>
      </w:r>
      <w:r w:rsidRPr="000D45E5">
        <w:rPr>
          <w:color w:val="000000"/>
          <w:sz w:val="18"/>
          <w:szCs w:val="18"/>
          <w:vertAlign w:val="superscript"/>
        </w:rPr>
        <w:t xml:space="preserve">c </w:t>
      </w:r>
      <w:r w:rsidRPr="000D45E5">
        <w:rPr>
          <w:color w:val="000000"/>
          <w:sz w:val="18"/>
          <w:szCs w:val="18"/>
        </w:rPr>
        <w:t>(9)</w:t>
      </w:r>
    </w:p>
    <w:p w:rsidR="005F6A86" w:rsidRPr="000D45E5" w:rsidRDefault="005F6A86" w:rsidP="005F6A86">
      <w:pPr>
        <w:spacing w:after="0"/>
        <w:ind w:left="709" w:right="709"/>
        <w:rPr>
          <w:color w:val="000000"/>
          <w:sz w:val="14"/>
          <w:szCs w:val="14"/>
        </w:rPr>
      </w:pPr>
    </w:p>
    <w:p w:rsidR="005F6A86" w:rsidRPr="000D45E5" w:rsidRDefault="005F6A86" w:rsidP="005F6A86">
      <w:pPr>
        <w:spacing w:after="0"/>
        <w:ind w:right="709"/>
        <w:rPr>
          <w:i/>
          <w:color w:val="000000"/>
          <w:sz w:val="16"/>
          <w:szCs w:val="16"/>
        </w:rPr>
      </w:pPr>
      <w:r w:rsidRPr="000D45E5">
        <w:rPr>
          <w:i/>
          <w:color w:val="000000"/>
          <w:sz w:val="16"/>
          <w:szCs w:val="16"/>
          <w:vertAlign w:val="superscript"/>
        </w:rPr>
        <w:t xml:space="preserve">a </w:t>
      </w:r>
      <w:r w:rsidRPr="000D45E5">
        <w:rPr>
          <w:i/>
          <w:color w:val="000000"/>
          <w:sz w:val="16"/>
          <w:szCs w:val="16"/>
        </w:rPr>
        <w:t>Address1 (8, italic)</w:t>
      </w:r>
    </w:p>
    <w:p w:rsidR="005F6A86" w:rsidRPr="000D45E5" w:rsidRDefault="005F6A86" w:rsidP="005F6A86">
      <w:pPr>
        <w:spacing w:after="0"/>
        <w:ind w:right="709"/>
        <w:rPr>
          <w:i/>
          <w:color w:val="000000"/>
          <w:sz w:val="16"/>
          <w:szCs w:val="16"/>
        </w:rPr>
      </w:pPr>
      <w:r w:rsidRPr="000D45E5">
        <w:rPr>
          <w:i/>
          <w:color w:val="000000"/>
          <w:sz w:val="16"/>
          <w:szCs w:val="16"/>
          <w:vertAlign w:val="superscript"/>
        </w:rPr>
        <w:t xml:space="preserve">b </w:t>
      </w:r>
      <w:r w:rsidRPr="000D45E5">
        <w:rPr>
          <w:i/>
          <w:color w:val="000000"/>
          <w:sz w:val="16"/>
          <w:szCs w:val="16"/>
        </w:rPr>
        <w:t>Address2</w:t>
      </w:r>
    </w:p>
    <w:p w:rsidR="005F6A86" w:rsidRDefault="005F6A86" w:rsidP="005F6A86">
      <w:pPr>
        <w:spacing w:after="0"/>
        <w:ind w:right="709"/>
        <w:rPr>
          <w:i/>
          <w:color w:val="000000"/>
          <w:sz w:val="16"/>
          <w:szCs w:val="16"/>
        </w:rPr>
      </w:pPr>
      <w:r w:rsidRPr="000D45E5">
        <w:rPr>
          <w:i/>
          <w:color w:val="000000"/>
          <w:sz w:val="16"/>
          <w:szCs w:val="16"/>
          <w:vertAlign w:val="superscript"/>
        </w:rPr>
        <w:t xml:space="preserve">c </w:t>
      </w:r>
      <w:r w:rsidRPr="000D45E5">
        <w:rPr>
          <w:i/>
          <w:color w:val="000000"/>
          <w:sz w:val="16"/>
          <w:szCs w:val="16"/>
        </w:rPr>
        <w:t>Address3</w:t>
      </w:r>
    </w:p>
    <w:p w:rsidR="005F6A86" w:rsidRPr="000D45E5" w:rsidRDefault="005F6A86" w:rsidP="005F6A86">
      <w:pPr>
        <w:spacing w:after="0"/>
        <w:ind w:right="709"/>
        <w:rPr>
          <w:i/>
          <w:color w:val="000000"/>
          <w:sz w:val="16"/>
          <w:szCs w:val="16"/>
        </w:rPr>
      </w:pPr>
    </w:p>
    <w:p w:rsidR="005F6A86" w:rsidRPr="000D45E5" w:rsidRDefault="005F6A86" w:rsidP="005F6A86">
      <w:pPr>
        <w:spacing w:after="0"/>
        <w:rPr>
          <w:color w:val="000000"/>
          <w:sz w:val="16"/>
          <w:szCs w:val="16"/>
        </w:rPr>
      </w:pPr>
      <w:r w:rsidRPr="000D45E5">
        <w:rPr>
          <w:color w:val="000000"/>
          <w:sz w:val="16"/>
          <w:szCs w:val="16"/>
        </w:rPr>
        <w:t>*Corresponding author:  email@</w:t>
      </w:r>
      <w:r>
        <w:rPr>
          <w:color w:val="000000"/>
          <w:sz w:val="16"/>
          <w:szCs w:val="16"/>
        </w:rPr>
        <w:t>niosh</w:t>
      </w:r>
      <w:r w:rsidRPr="000D45E5">
        <w:rPr>
          <w:color w:val="000000"/>
          <w:sz w:val="16"/>
          <w:szCs w:val="16"/>
        </w:rPr>
        <w:t>.</w:t>
      </w:r>
      <w:r>
        <w:rPr>
          <w:color w:val="000000"/>
          <w:sz w:val="16"/>
          <w:szCs w:val="16"/>
        </w:rPr>
        <w:t>com.</w:t>
      </w:r>
      <w:r w:rsidRPr="000D45E5">
        <w:rPr>
          <w:color w:val="000000"/>
          <w:sz w:val="16"/>
          <w:szCs w:val="16"/>
        </w:rPr>
        <w:t>my</w:t>
      </w:r>
    </w:p>
    <w:p w:rsidR="005F6A86" w:rsidRPr="000D45E5" w:rsidRDefault="005F6A86" w:rsidP="005F6A86">
      <w:pPr>
        <w:rPr>
          <w:rFonts w:ascii="Helvetica" w:hAnsi="Helvetica"/>
          <w:color w:val="000000"/>
          <w:sz w:val="22"/>
        </w:rPr>
      </w:pPr>
    </w:p>
    <w:tbl>
      <w:tblPr>
        <w:tblW w:w="5000" w:type="pct"/>
        <w:shd w:val="clear" w:color="auto" w:fill="5B9BD5"/>
        <w:tblLook w:val="04A0" w:firstRow="1" w:lastRow="0" w:firstColumn="1" w:lastColumn="0" w:noHBand="0" w:noVBand="1"/>
      </w:tblPr>
      <w:tblGrid>
        <w:gridCol w:w="3195"/>
        <w:gridCol w:w="6891"/>
      </w:tblGrid>
      <w:tr w:rsidR="005F6A86" w:rsidRPr="005C6C97" w:rsidTr="00A96358">
        <w:tc>
          <w:tcPr>
            <w:tcW w:w="1584" w:type="pct"/>
            <w:tcBorders>
              <w:top w:val="single" w:sz="12" w:space="0" w:color="DEEAF6"/>
              <w:bottom w:val="single" w:sz="24" w:space="0" w:color="DEEAF6"/>
            </w:tcBorders>
            <w:shd w:val="clear" w:color="auto" w:fill="FFFFFF"/>
          </w:tcPr>
          <w:p w:rsidR="005F6A86" w:rsidRDefault="005F6A86" w:rsidP="00A96358">
            <w:pPr>
              <w:rPr>
                <w:b/>
                <w:sz w:val="16"/>
                <w:szCs w:val="16"/>
              </w:rPr>
            </w:pPr>
          </w:p>
          <w:p w:rsidR="005F6A86" w:rsidRDefault="005F6A86" w:rsidP="00A96358">
            <w:pPr>
              <w:rPr>
                <w:b/>
                <w:sz w:val="16"/>
                <w:szCs w:val="16"/>
              </w:rPr>
            </w:pPr>
          </w:p>
          <w:p w:rsidR="005F6A86" w:rsidRPr="005C6C97" w:rsidRDefault="005F6A86" w:rsidP="00A96358">
            <w:pPr>
              <w:rPr>
                <w:b/>
                <w:sz w:val="16"/>
                <w:szCs w:val="16"/>
              </w:rPr>
            </w:pPr>
            <w:r w:rsidRPr="005C6C97">
              <w:rPr>
                <w:b/>
                <w:sz w:val="16"/>
                <w:szCs w:val="16"/>
              </w:rPr>
              <w:t>Article history</w:t>
            </w:r>
          </w:p>
          <w:p w:rsidR="005F6A86" w:rsidRPr="005C6C97" w:rsidRDefault="005F6A86" w:rsidP="00A96358">
            <w:pPr>
              <w:rPr>
                <w:sz w:val="16"/>
                <w:szCs w:val="16"/>
              </w:rPr>
            </w:pPr>
          </w:p>
          <w:p w:rsidR="005F6A86" w:rsidRPr="005C6C97" w:rsidRDefault="005F6A86" w:rsidP="00A96358">
            <w:pPr>
              <w:spacing w:after="0"/>
              <w:rPr>
                <w:sz w:val="16"/>
                <w:szCs w:val="16"/>
              </w:rPr>
            </w:pPr>
            <w:r>
              <w:rPr>
                <w:sz w:val="16"/>
                <w:szCs w:val="16"/>
              </w:rPr>
              <w:t>Received xx/xx/</w:t>
            </w:r>
            <w:proofErr w:type="spellStart"/>
            <w:r>
              <w:rPr>
                <w:sz w:val="16"/>
                <w:szCs w:val="16"/>
              </w:rPr>
              <w:t>xxxx</w:t>
            </w:r>
            <w:proofErr w:type="spellEnd"/>
          </w:p>
          <w:p w:rsidR="005F6A86" w:rsidRPr="005C6C97" w:rsidRDefault="005F6A86" w:rsidP="00A96358">
            <w:pPr>
              <w:spacing w:after="0"/>
              <w:rPr>
                <w:sz w:val="16"/>
                <w:szCs w:val="16"/>
              </w:rPr>
            </w:pPr>
            <w:r>
              <w:rPr>
                <w:sz w:val="16"/>
                <w:szCs w:val="16"/>
              </w:rPr>
              <w:t>Accepted (Panel 1) xx/xx/</w:t>
            </w:r>
            <w:proofErr w:type="spellStart"/>
            <w:r>
              <w:rPr>
                <w:sz w:val="16"/>
                <w:szCs w:val="16"/>
              </w:rPr>
              <w:t>xxxx</w:t>
            </w:r>
            <w:proofErr w:type="spellEnd"/>
          </w:p>
          <w:p w:rsidR="005F6A86" w:rsidRPr="0073203A" w:rsidRDefault="005F6A86" w:rsidP="00A96358">
            <w:pPr>
              <w:spacing w:after="0"/>
              <w:rPr>
                <w:sz w:val="16"/>
                <w:szCs w:val="16"/>
              </w:rPr>
            </w:pPr>
            <w:r>
              <w:rPr>
                <w:sz w:val="16"/>
                <w:szCs w:val="16"/>
              </w:rPr>
              <w:t>Accepted (Panel 2) xx/xx/</w:t>
            </w:r>
            <w:proofErr w:type="spellStart"/>
            <w:r>
              <w:rPr>
                <w:sz w:val="16"/>
                <w:szCs w:val="16"/>
              </w:rPr>
              <w:t>xxxx</w:t>
            </w:r>
            <w:proofErr w:type="spellEnd"/>
          </w:p>
          <w:p w:rsidR="005F6A86" w:rsidRPr="005C6C97" w:rsidRDefault="005F6A86" w:rsidP="00A96358">
            <w:pPr>
              <w:spacing w:line="276" w:lineRule="auto"/>
              <w:rPr>
                <w:lang w:val="en-GB"/>
              </w:rPr>
            </w:pPr>
          </w:p>
        </w:tc>
        <w:tc>
          <w:tcPr>
            <w:tcW w:w="3416" w:type="pct"/>
            <w:tcBorders>
              <w:top w:val="single" w:sz="12" w:space="0" w:color="DEEAF6"/>
              <w:bottom w:val="single" w:sz="24" w:space="0" w:color="DEEAF6"/>
            </w:tcBorders>
            <w:shd w:val="clear" w:color="auto" w:fill="DEEAF6"/>
          </w:tcPr>
          <w:p w:rsidR="005F6A86" w:rsidRPr="005C6C97" w:rsidRDefault="005F6A86" w:rsidP="00A96358">
            <w:pPr>
              <w:spacing w:after="240" w:line="276" w:lineRule="auto"/>
              <w:rPr>
                <w:b/>
                <w:i/>
                <w:szCs w:val="22"/>
                <w:lang w:val="en-GB"/>
              </w:rPr>
            </w:pPr>
          </w:p>
          <w:p w:rsidR="005F6A86" w:rsidRPr="009342B0" w:rsidRDefault="005F6A86" w:rsidP="00A96358">
            <w:pPr>
              <w:spacing w:after="320"/>
              <w:ind w:left="291" w:right="420" w:firstLine="15"/>
              <w:rPr>
                <w:b/>
                <w:color w:val="000000"/>
                <w:lang w:val="fr-FR"/>
              </w:rPr>
            </w:pPr>
            <w:r w:rsidRPr="009342B0">
              <w:rPr>
                <w:b/>
                <w:color w:val="000000"/>
                <w:szCs w:val="22"/>
                <w:lang w:val="fr-FR"/>
              </w:rPr>
              <w:t>ABSTRACT (11 BOLD)</w:t>
            </w:r>
            <w:r w:rsidRPr="009342B0">
              <w:rPr>
                <w:b/>
                <w:color w:val="000000"/>
                <w:sz w:val="24"/>
                <w:szCs w:val="24"/>
                <w:lang w:val="fr-FR"/>
              </w:rPr>
              <w:t xml:space="preserve"> : </w:t>
            </w:r>
            <w:r w:rsidRPr="009342B0">
              <w:rPr>
                <w:i/>
                <w:color w:val="000000"/>
              </w:rPr>
              <w:t xml:space="preserve">The abstract should summarize the content of the paper. Try to keep the abstract below 200 words. Do not make references nor display equations in the abstract. The journal will be printed from the same-sized copy prepared by you. Your manuscript should be printed on A4 paper (21.0 cm x 29.7 cm). </w:t>
            </w:r>
            <w:r w:rsidRPr="00784D74">
              <w:rPr>
                <w:i/>
                <w:color w:val="000000"/>
              </w:rPr>
              <w:t xml:space="preserve">Leave margins at 2.54 cm at the top &amp; bottom and 1.9 cm at left &amp; right sides of each </w:t>
            </w:r>
            <w:proofErr w:type="spellStart"/>
            <w:proofErr w:type="gramStart"/>
            <w:r w:rsidRPr="00784D74">
              <w:rPr>
                <w:i/>
                <w:color w:val="000000"/>
              </w:rPr>
              <w:t>page.</w:t>
            </w:r>
            <w:r>
              <w:rPr>
                <w:i/>
                <w:color w:val="000000"/>
              </w:rPr>
              <w:t>The</w:t>
            </w:r>
            <w:proofErr w:type="spellEnd"/>
            <w:proofErr w:type="gramEnd"/>
            <w:r>
              <w:rPr>
                <w:i/>
                <w:color w:val="000000"/>
              </w:rPr>
              <w:t xml:space="preserve"> margins and style described below must</w:t>
            </w:r>
            <w:r w:rsidRPr="009342B0">
              <w:rPr>
                <w:i/>
                <w:color w:val="000000"/>
              </w:rPr>
              <w:t xml:space="preserve"> be adhered to carefully. This will enable us to keep uniformity in the final printed copies of the Journal. Please keep in mind that the manuscript you prepare will be photographed and printed as it is received. Readability of copy is of paramount importance. (10 Italic)</w:t>
            </w:r>
          </w:p>
          <w:p w:rsidR="005F6A86" w:rsidRPr="009342B0" w:rsidRDefault="005F6A86" w:rsidP="00A96358">
            <w:pPr>
              <w:ind w:left="291" w:right="420"/>
              <w:rPr>
                <w:iCs/>
                <w:color w:val="000000"/>
                <w:lang w:val="fr-FR"/>
              </w:rPr>
            </w:pPr>
            <w:r w:rsidRPr="009342B0">
              <w:rPr>
                <w:b/>
                <w:bCs/>
                <w:iCs/>
                <w:color w:val="000000"/>
                <w:szCs w:val="22"/>
              </w:rPr>
              <w:t xml:space="preserve">Keywords </w:t>
            </w:r>
            <w:r w:rsidRPr="009342B0">
              <w:rPr>
                <w:b/>
                <w:color w:val="000000"/>
                <w:szCs w:val="22"/>
                <w:lang w:val="fr-FR"/>
              </w:rPr>
              <w:t>(11 Bold</w:t>
            </w:r>
            <w:proofErr w:type="gramStart"/>
            <w:r w:rsidRPr="009342B0">
              <w:rPr>
                <w:b/>
                <w:color w:val="000000"/>
                <w:szCs w:val="22"/>
                <w:lang w:val="fr-FR"/>
              </w:rPr>
              <w:t>)</w:t>
            </w:r>
            <w:r w:rsidRPr="009342B0">
              <w:rPr>
                <w:b/>
                <w:color w:val="000000"/>
                <w:lang w:val="fr-FR"/>
              </w:rPr>
              <w:t> :</w:t>
            </w:r>
            <w:proofErr w:type="gramEnd"/>
            <w:r w:rsidRPr="009342B0">
              <w:rPr>
                <w:b/>
                <w:iCs/>
                <w:color w:val="000000"/>
              </w:rPr>
              <w:t xml:space="preserve"> </w:t>
            </w:r>
            <w:r w:rsidRPr="009342B0">
              <w:rPr>
                <w:i/>
                <w:iCs/>
                <w:color w:val="000000"/>
              </w:rPr>
              <w:t xml:space="preserve">About five key words in alphabetical order, separated by comma </w:t>
            </w:r>
            <w:r w:rsidRPr="009342B0">
              <w:rPr>
                <w:i/>
                <w:color w:val="000000"/>
              </w:rPr>
              <w:t>(10 Italic)</w:t>
            </w:r>
            <w:r>
              <w:rPr>
                <w:i/>
                <w:color w:val="000000"/>
              </w:rPr>
              <w:t xml:space="preserve">. </w:t>
            </w:r>
            <w:r>
              <w:rPr>
                <w:i/>
              </w:rPr>
              <w:t>Please capitalize</w:t>
            </w:r>
            <w:r w:rsidRPr="009D4608">
              <w:rPr>
                <w:i/>
              </w:rPr>
              <w:t xml:space="preserve"> each word</w:t>
            </w:r>
            <w:r>
              <w:rPr>
                <w:i/>
              </w:rPr>
              <w:t>.</w:t>
            </w:r>
          </w:p>
          <w:p w:rsidR="005F6A86" w:rsidRPr="005C6C97" w:rsidRDefault="005F6A86" w:rsidP="00A96358">
            <w:pPr>
              <w:spacing w:line="276" w:lineRule="auto"/>
              <w:jc w:val="right"/>
              <w:rPr>
                <w:sz w:val="16"/>
                <w:szCs w:val="16"/>
                <w:lang w:val="en-GB"/>
              </w:rPr>
            </w:pPr>
            <w:r w:rsidRPr="005C6C97">
              <w:rPr>
                <w:sz w:val="16"/>
                <w:szCs w:val="16"/>
                <w:lang w:val="en-GB"/>
              </w:rPr>
              <w:t>All rights reserved</w:t>
            </w:r>
            <w:r>
              <w:rPr>
                <w:sz w:val="16"/>
                <w:szCs w:val="16"/>
                <w:lang w:val="en-GB"/>
              </w:rPr>
              <w:t>.</w:t>
            </w:r>
          </w:p>
        </w:tc>
      </w:tr>
    </w:tbl>
    <w:p w:rsidR="005F6A86" w:rsidRPr="00783BBD" w:rsidRDefault="005F6A86" w:rsidP="005F6A86">
      <w:pPr>
        <w:pStyle w:val="Heading1"/>
        <w:rPr>
          <w:color w:val="0070C0"/>
        </w:rPr>
      </w:pPr>
      <w:r w:rsidRPr="00783BBD">
        <w:rPr>
          <w:color w:val="0070C0"/>
        </w:rPr>
        <w:t>1.0 INTRODUCTION (11 BOLD)</w:t>
      </w:r>
    </w:p>
    <w:p w:rsidR="005F6A86" w:rsidRPr="005205AE" w:rsidRDefault="005F6A86" w:rsidP="005F6A86">
      <w:pPr>
        <w:adjustRightInd w:val="0"/>
        <w:rPr>
          <w:szCs w:val="18"/>
        </w:rPr>
      </w:pPr>
      <w:r w:rsidRPr="000D45E5">
        <w:rPr>
          <w:color w:val="000000"/>
          <w:szCs w:val="18"/>
        </w:rPr>
        <w:t xml:space="preserve">The introduction of the paper should explain the nature of the problem, previous work, purpose, and the contribution of the paper. The contents of each section may be provided to understand easily about the paper. </w:t>
      </w:r>
      <w:r w:rsidRPr="005205AE">
        <w:rPr>
          <w:szCs w:val="18"/>
        </w:rPr>
        <w:t xml:space="preserve">Clearly state the purpose of the article. Summarize the rationale for the study or observation. Give only strictly pertinent references, and do not </w:t>
      </w:r>
      <w:r>
        <w:rPr>
          <w:szCs w:val="18"/>
        </w:rPr>
        <w:t>review the subject extensively. (Font size 10)</w:t>
      </w:r>
    </w:p>
    <w:p w:rsidR="005F6A86" w:rsidRPr="005C3ADA" w:rsidRDefault="005F6A86" w:rsidP="005F6A86">
      <w:pPr>
        <w:pStyle w:val="Heading1"/>
        <w:rPr>
          <w:color w:val="4472C4"/>
        </w:rPr>
      </w:pPr>
      <w:r w:rsidRPr="005C3ADA">
        <w:rPr>
          <w:color w:val="4472C4"/>
        </w:rPr>
        <w:t>2.0 HEADINGS (11 BOLD)</w:t>
      </w:r>
    </w:p>
    <w:p w:rsidR="005F6A86" w:rsidRPr="005205AE" w:rsidRDefault="005F6A86" w:rsidP="005F6A86">
      <w:pPr>
        <w:adjustRightInd w:val="0"/>
        <w:rPr>
          <w:b/>
          <w:bCs/>
          <w:szCs w:val="18"/>
        </w:rPr>
      </w:pPr>
      <w:r w:rsidRPr="005205AE">
        <w:rPr>
          <w:szCs w:val="18"/>
        </w:rPr>
        <w:t xml:space="preserve">The first </w:t>
      </w:r>
      <w:r w:rsidRPr="005205AE">
        <w:rPr>
          <w:b/>
          <w:bCs/>
          <w:szCs w:val="18"/>
        </w:rPr>
        <w:t>headings</w:t>
      </w:r>
      <w:r w:rsidRPr="005205AE">
        <w:rPr>
          <w:szCs w:val="18"/>
        </w:rPr>
        <w:t xml:space="preserve"> should be started with "</w:t>
      </w:r>
      <w:r w:rsidRPr="005205AE">
        <w:rPr>
          <w:b/>
          <w:bCs/>
          <w:szCs w:val="18"/>
        </w:rPr>
        <w:t>1.0 INTRODUCTION</w:t>
      </w:r>
      <w:r w:rsidRPr="005205AE">
        <w:rPr>
          <w:szCs w:val="18"/>
        </w:rPr>
        <w:t xml:space="preserve">", appear in upper case, </w:t>
      </w:r>
      <w:r w:rsidRPr="005205AE">
        <w:rPr>
          <w:bCs/>
          <w:szCs w:val="18"/>
        </w:rPr>
        <w:t>set in bold and aligned flush left.</w:t>
      </w:r>
      <w:r w:rsidRPr="005205AE">
        <w:rPr>
          <w:szCs w:val="18"/>
        </w:rPr>
        <w:t xml:space="preserve"> All headings from the Introduction to Conclusion are numbered sequentially using 1.0, 2.0, 3.0, etc. The font size for </w:t>
      </w:r>
      <w:r w:rsidRPr="005205AE">
        <w:rPr>
          <w:b/>
          <w:szCs w:val="18"/>
        </w:rPr>
        <w:t>heading is 11 points bold face.</w:t>
      </w:r>
      <w:r w:rsidRPr="005205AE">
        <w:rPr>
          <w:szCs w:val="18"/>
        </w:rPr>
        <w:t xml:space="preserve"> Do not underline any of the headings, or add dashes, colons, etc. </w:t>
      </w:r>
    </w:p>
    <w:p w:rsidR="005F6A86" w:rsidRPr="00034D5C" w:rsidRDefault="005F6A86" w:rsidP="005F6A86">
      <w:pPr>
        <w:adjustRightInd w:val="0"/>
        <w:rPr>
          <w:b/>
          <w:bCs/>
          <w:color w:val="000000"/>
          <w:szCs w:val="18"/>
          <w:highlight w:val="yellow"/>
        </w:rPr>
      </w:pPr>
    </w:p>
    <w:p w:rsidR="005F6A86" w:rsidRPr="005205AE" w:rsidRDefault="005F6A86" w:rsidP="005F6A86">
      <w:pPr>
        <w:numPr>
          <w:ilvl w:val="1"/>
          <w:numId w:val="2"/>
        </w:numPr>
        <w:adjustRightInd w:val="0"/>
        <w:rPr>
          <w:bCs/>
          <w:color w:val="000000"/>
          <w:szCs w:val="18"/>
        </w:rPr>
      </w:pPr>
      <w:r w:rsidRPr="005205AE">
        <w:rPr>
          <w:bCs/>
          <w:color w:val="000000"/>
          <w:szCs w:val="18"/>
        </w:rPr>
        <w:t xml:space="preserve">Subheadings </w:t>
      </w:r>
      <w:r w:rsidRPr="005205AE">
        <w:rPr>
          <w:color w:val="000000"/>
          <w:szCs w:val="18"/>
        </w:rPr>
        <w:t>(10)</w:t>
      </w:r>
    </w:p>
    <w:p w:rsidR="005F6A86" w:rsidRDefault="005F6A86" w:rsidP="005F6A86">
      <w:pPr>
        <w:adjustRightInd w:val="0"/>
        <w:rPr>
          <w:color w:val="000000"/>
          <w:szCs w:val="18"/>
        </w:rPr>
      </w:pPr>
      <w:r w:rsidRPr="005205AE">
        <w:rPr>
          <w:bCs/>
          <w:szCs w:val="18"/>
        </w:rPr>
        <w:lastRenderedPageBreak/>
        <w:t>The subheading</w:t>
      </w:r>
      <w:r w:rsidRPr="005205AE">
        <w:rPr>
          <w:szCs w:val="18"/>
        </w:rPr>
        <w:t xml:space="preserve"> should be stated with “1.1 Subheadings”, lower case letters</w:t>
      </w:r>
      <w:r w:rsidRPr="005205AE">
        <w:t xml:space="preserve"> </w:t>
      </w:r>
      <w:r w:rsidRPr="005205AE">
        <w:rPr>
          <w:szCs w:val="18"/>
        </w:rPr>
        <w:t>and aligned flush left.</w:t>
      </w:r>
      <w:r w:rsidRPr="005205AE">
        <w:rPr>
          <w:color w:val="000000"/>
          <w:szCs w:val="18"/>
        </w:rPr>
        <w:t xml:space="preserve"> Subheadings are numbered 1.1, 1.2, etc. If a subsection must be further divided, the numbers 1.1.1, 1.1.2, etc. The font size for </w:t>
      </w:r>
      <w:r w:rsidRPr="005205AE">
        <w:rPr>
          <w:b/>
          <w:color w:val="000000"/>
          <w:szCs w:val="18"/>
        </w:rPr>
        <w:t>subheading is 10 points and not bold.</w:t>
      </w:r>
      <w:r w:rsidRPr="005205AE">
        <w:t xml:space="preserve"> </w:t>
      </w:r>
      <w:r w:rsidRPr="005205AE">
        <w:rPr>
          <w:color w:val="000000"/>
          <w:szCs w:val="18"/>
        </w:rPr>
        <w:t>Do not underline any of the subheadings, or add dashes, colons, etc.</w:t>
      </w:r>
      <w:r>
        <w:rPr>
          <w:color w:val="000000"/>
          <w:szCs w:val="18"/>
        </w:rPr>
        <w:t xml:space="preserve"> </w:t>
      </w:r>
    </w:p>
    <w:p w:rsidR="005F6A86" w:rsidRPr="0030510E" w:rsidRDefault="005F6A86" w:rsidP="005F6A86">
      <w:pPr>
        <w:adjustRightInd w:val="0"/>
        <w:rPr>
          <w:color w:val="000000"/>
          <w:szCs w:val="18"/>
        </w:rPr>
      </w:pPr>
    </w:p>
    <w:p w:rsidR="005F6A86" w:rsidRPr="005205AE" w:rsidRDefault="005F6A86" w:rsidP="005F6A86">
      <w:pPr>
        <w:numPr>
          <w:ilvl w:val="1"/>
          <w:numId w:val="2"/>
        </w:numPr>
        <w:adjustRightInd w:val="0"/>
        <w:rPr>
          <w:color w:val="000000"/>
        </w:rPr>
      </w:pPr>
      <w:r w:rsidRPr="005205AE">
        <w:rPr>
          <w:color w:val="000000"/>
        </w:rPr>
        <w:t>Indentations and Equations (10)</w:t>
      </w:r>
    </w:p>
    <w:p w:rsidR="005F6A86" w:rsidRDefault="005F6A86" w:rsidP="005F6A86">
      <w:pPr>
        <w:adjustRightInd w:val="0"/>
        <w:rPr>
          <w:color w:val="000000"/>
        </w:rPr>
      </w:pPr>
      <w:r w:rsidRPr="000D45E5">
        <w:rPr>
          <w:color w:val="000000"/>
        </w:rPr>
        <w:t xml:space="preserve">The first paragraph under each heading or subheading should be flush left, and subsequent paragraphs should have a five-space indentation. A colon is inserted before an equation is presented, but there is no punctuation following the equation. </w:t>
      </w:r>
    </w:p>
    <w:p w:rsidR="005F6A86" w:rsidRDefault="005F6A86" w:rsidP="005F6A86">
      <w:pPr>
        <w:adjustRightInd w:val="0"/>
        <w:ind w:firstLine="720"/>
        <w:rPr>
          <w:color w:val="000000"/>
        </w:rPr>
      </w:pPr>
      <w:r w:rsidRPr="000D45E5">
        <w:rPr>
          <w:color w:val="000000"/>
        </w:rPr>
        <w:t>All equations are numbered and referred to in the text solely by a number enclosed in a round bracket (i.e., (3) reads as "equation 3"). Ensure that any miscellaneous numbering system you use in your paper cannot be confused with a reference [4] or a</w:t>
      </w:r>
      <w:r>
        <w:rPr>
          <w:color w:val="000000"/>
        </w:rPr>
        <w:t>n equation (3) designation. For example:</w:t>
      </w:r>
    </w:p>
    <w:p w:rsidR="005F6A86" w:rsidRDefault="005F6A86" w:rsidP="005F6A86">
      <w:pPr>
        <w:adjustRightInd w:val="0"/>
        <w:ind w:firstLine="720"/>
        <w:rPr>
          <w:color w:val="000000"/>
        </w:rPr>
      </w:pPr>
    </w:p>
    <w:tbl>
      <w:tblPr>
        <w:tblW w:w="0" w:type="auto"/>
        <w:tblLook w:val="04A0" w:firstRow="1" w:lastRow="0" w:firstColumn="1" w:lastColumn="0" w:noHBand="0" w:noVBand="1"/>
      </w:tblPr>
      <w:tblGrid>
        <w:gridCol w:w="7054"/>
        <w:gridCol w:w="2835"/>
      </w:tblGrid>
      <w:tr w:rsidR="005F6A86" w:rsidRPr="005C3ADA" w:rsidTr="00A96358">
        <w:tc>
          <w:tcPr>
            <w:tcW w:w="7054" w:type="dxa"/>
            <w:shd w:val="clear" w:color="auto" w:fill="auto"/>
          </w:tcPr>
          <w:p w:rsidR="005F6A86" w:rsidRPr="005F6A86" w:rsidRDefault="005F6A86" w:rsidP="00A96358">
            <w:pPr>
              <w:adjustRightInd w:val="0"/>
              <w:jc w:val="right"/>
              <w:rPr>
                <w:color w:val="000000"/>
              </w:rPr>
            </w:pPr>
            <m:oMathPara>
              <m:oMath>
                <m:r>
                  <w:rPr>
                    <w:rFonts w:ascii="Cambria Math" w:hAnsi="Cambria Math"/>
                    <w:lang w:val="en-GB"/>
                  </w:rPr>
                  <m:t xml:space="preserve">RII= </m:t>
                </m:r>
                <m:f>
                  <m:fPr>
                    <m:ctrlPr>
                      <w:rPr>
                        <w:rFonts w:ascii="Cambria Math" w:hAnsi="Cambria Math"/>
                        <w:i/>
                        <w:lang w:val="en-GB"/>
                      </w:rPr>
                    </m:ctrlPr>
                  </m:fPr>
                  <m:num>
                    <m:nary>
                      <m:naryPr>
                        <m:chr m:val="∑"/>
                        <m:limLoc m:val="undOvr"/>
                        <m:subHide m:val="1"/>
                        <m:supHide m:val="1"/>
                        <m:ctrlPr>
                          <w:rPr>
                            <w:rFonts w:ascii="Cambria Math" w:hAnsi="Cambria Math"/>
                            <w:i/>
                            <w:lang w:val="en-GB"/>
                          </w:rPr>
                        </m:ctrlPr>
                      </m:naryPr>
                      <m:sub/>
                      <m:sup/>
                      <m:e>
                        <m:r>
                          <w:rPr>
                            <w:rFonts w:ascii="Cambria Math" w:hAnsi="Cambria Math"/>
                            <w:lang w:val="en-GB"/>
                          </w:rPr>
                          <m:t>w</m:t>
                        </m:r>
                      </m:e>
                    </m:nary>
                  </m:num>
                  <m:den>
                    <m:r>
                      <w:rPr>
                        <w:rFonts w:ascii="Cambria Math" w:hAnsi="Cambria Math"/>
                        <w:lang w:val="en-GB"/>
                      </w:rPr>
                      <m:t>AN</m:t>
                    </m:r>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5n</m:t>
                        </m:r>
                      </m:e>
                      <m:sub>
                        <m:r>
                          <w:rPr>
                            <w:rFonts w:ascii="Cambria Math" w:hAnsi="Cambria Math"/>
                            <w:lang w:val="en-GB"/>
                          </w:rPr>
                          <m:t>5</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4n</m:t>
                        </m:r>
                      </m:e>
                      <m:sub>
                        <m:r>
                          <w:rPr>
                            <w:rFonts w:ascii="Cambria Math" w:hAnsi="Cambria Math"/>
                            <w:lang w:val="en-GB"/>
                          </w:rPr>
                          <m:t>4</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3n</m:t>
                        </m:r>
                      </m:e>
                      <m:sub>
                        <m:r>
                          <w:rPr>
                            <w:rFonts w:ascii="Cambria Math" w:hAnsi="Cambria Math"/>
                            <w:lang w:val="en-GB"/>
                          </w:rPr>
                          <m:t>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2n</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1n</m:t>
                        </m:r>
                      </m:e>
                      <m:sub>
                        <m:r>
                          <w:rPr>
                            <w:rFonts w:ascii="Cambria Math" w:hAnsi="Cambria Math"/>
                            <w:lang w:val="en-GB"/>
                          </w:rPr>
                          <m:t>1</m:t>
                        </m:r>
                      </m:sub>
                    </m:sSub>
                  </m:num>
                  <m:den>
                    <m:r>
                      <w:rPr>
                        <w:rFonts w:ascii="Cambria Math" w:hAnsi="Cambria Math"/>
                        <w:lang w:val="en-GB"/>
                      </w:rPr>
                      <m:t>5N</m:t>
                    </m:r>
                  </m:den>
                </m:f>
              </m:oMath>
            </m:oMathPara>
          </w:p>
        </w:tc>
        <w:tc>
          <w:tcPr>
            <w:tcW w:w="2835" w:type="dxa"/>
            <w:shd w:val="clear" w:color="auto" w:fill="auto"/>
          </w:tcPr>
          <w:p w:rsidR="005F6A86" w:rsidRPr="005C3ADA" w:rsidRDefault="005F6A86" w:rsidP="00A96358">
            <w:pPr>
              <w:adjustRightInd w:val="0"/>
              <w:jc w:val="right"/>
              <w:rPr>
                <w:color w:val="000000"/>
              </w:rPr>
            </w:pPr>
            <w:r w:rsidRPr="005C3ADA">
              <w:rPr>
                <w:color w:val="000000"/>
              </w:rPr>
              <w:t>(3)</w:t>
            </w:r>
          </w:p>
        </w:tc>
      </w:tr>
    </w:tbl>
    <w:p w:rsidR="005F6A86" w:rsidRPr="00AD4EC8" w:rsidRDefault="005F6A86" w:rsidP="005F6A86">
      <w:pPr>
        <w:spacing w:after="200" w:line="276" w:lineRule="auto"/>
        <w:rPr>
          <w:rFonts w:eastAsia="SimSun"/>
          <w:lang w:val="en-GB"/>
        </w:rPr>
      </w:pPr>
    </w:p>
    <w:p w:rsidR="005F6A86" w:rsidRPr="00AE2302" w:rsidRDefault="005F6A86" w:rsidP="005F6A86">
      <w:pPr>
        <w:numPr>
          <w:ilvl w:val="1"/>
          <w:numId w:val="2"/>
        </w:numPr>
        <w:adjustRightInd w:val="0"/>
        <w:rPr>
          <w:color w:val="000000"/>
        </w:rPr>
      </w:pPr>
      <w:r w:rsidRPr="00AE2302">
        <w:rPr>
          <w:color w:val="000000"/>
        </w:rPr>
        <w:t>Figures and Tables (10)</w:t>
      </w:r>
    </w:p>
    <w:p w:rsidR="005F6A86" w:rsidRDefault="005F6A86" w:rsidP="005F6A86">
      <w:pPr>
        <w:adjustRightInd w:val="0"/>
        <w:rPr>
          <w:color w:val="000000"/>
        </w:rPr>
      </w:pPr>
      <w:r w:rsidRPr="000D45E5">
        <w:rPr>
          <w:color w:val="000000"/>
        </w:rPr>
        <w:t xml:space="preserve">To ensure a high-quality product, diagrams and lettering </w:t>
      </w:r>
      <w:r w:rsidRPr="00D9555D">
        <w:rPr>
          <w:b/>
          <w:color w:val="000000"/>
        </w:rPr>
        <w:t>MUST</w:t>
      </w:r>
      <w:r w:rsidRPr="000D45E5">
        <w:rPr>
          <w:color w:val="000000"/>
        </w:rPr>
        <w:t xml:space="preserve"> be computer-drafted. Figure captions appear below the figure, are centered </w:t>
      </w:r>
      <w:r>
        <w:rPr>
          <w:color w:val="000000"/>
        </w:rPr>
        <w:t>below</w:t>
      </w:r>
      <w:r w:rsidRPr="000D45E5">
        <w:rPr>
          <w:color w:val="000000"/>
        </w:rPr>
        <w:t xml:space="preserve"> the </w:t>
      </w:r>
      <w:r>
        <w:rPr>
          <w:color w:val="000000"/>
        </w:rPr>
        <w:t>figure</w:t>
      </w:r>
      <w:r w:rsidRPr="000D45E5">
        <w:rPr>
          <w:color w:val="000000"/>
        </w:rPr>
        <w:t xml:space="preserve"> and are in upper and lower case letters</w:t>
      </w:r>
      <w:r>
        <w:rPr>
          <w:color w:val="000000"/>
        </w:rPr>
        <w:t xml:space="preserve"> (9)</w:t>
      </w:r>
      <w:r w:rsidRPr="000D45E5">
        <w:rPr>
          <w:color w:val="000000"/>
        </w:rPr>
        <w:t>. When referring to a figure in the body of the text, the abbreviation "Fig." is used. Figures should be numbered in the order they appear in the text.</w:t>
      </w:r>
    </w:p>
    <w:p w:rsidR="005F6A86" w:rsidRDefault="005F6A86" w:rsidP="005F6A86">
      <w:pPr>
        <w:adjustRightInd w:val="0"/>
        <w:rPr>
          <w:color w:val="000000"/>
        </w:rPr>
      </w:pPr>
    </w:p>
    <w:p w:rsidR="005F6A86" w:rsidRDefault="005F6A86" w:rsidP="005F6A86">
      <w:pPr>
        <w:adjustRightInd w:val="0"/>
        <w:jc w:val="center"/>
        <w:rPr>
          <w:color w:val="000000"/>
        </w:rPr>
      </w:pPr>
      <w:r w:rsidRPr="00635FA5">
        <w:rPr>
          <w:noProof/>
          <w:color w:val="000000"/>
          <w:lang w:val="en-MY" w:eastAsia="en-MY"/>
        </w:rPr>
        <w:drawing>
          <wp:anchor distT="0" distB="0" distL="114300" distR="114300" simplePos="0" relativeHeight="251660288" behindDoc="1" locked="0" layoutInCell="1" allowOverlap="1">
            <wp:simplePos x="0" y="0"/>
            <wp:positionH relativeFrom="column">
              <wp:posOffset>1921510</wp:posOffset>
            </wp:positionH>
            <wp:positionV relativeFrom="paragraph">
              <wp:posOffset>36830</wp:posOffset>
            </wp:positionV>
            <wp:extent cx="2379980" cy="3366135"/>
            <wp:effectExtent l="0" t="0" r="1270" b="5715"/>
            <wp:wrapTopAndBottom/>
            <wp:docPr id="1" name="Picture 1" descr="brochure OSH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chure OSHEC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9980" cy="336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A86" w:rsidRPr="007E7186" w:rsidRDefault="005F6A86" w:rsidP="005F6A86">
      <w:pPr>
        <w:spacing w:line="276" w:lineRule="auto"/>
        <w:jc w:val="center"/>
        <w:rPr>
          <w:b/>
          <w:sz w:val="18"/>
          <w:szCs w:val="18"/>
          <w:lang w:val="en-MY"/>
        </w:rPr>
      </w:pPr>
      <w:r w:rsidRPr="007E7186">
        <w:rPr>
          <w:b/>
          <w:sz w:val="18"/>
          <w:szCs w:val="18"/>
          <w:lang w:val="en-MY"/>
        </w:rPr>
        <w:t xml:space="preserve">Figure 1: </w:t>
      </w:r>
      <w:r>
        <w:rPr>
          <w:b/>
          <w:sz w:val="18"/>
          <w:szCs w:val="18"/>
          <w:lang w:val="en-MY"/>
        </w:rPr>
        <w:t xml:space="preserve">OSHECT Brochure </w:t>
      </w:r>
    </w:p>
    <w:p w:rsidR="005F6A86" w:rsidRPr="000D45E5" w:rsidRDefault="005F6A86" w:rsidP="005F6A86">
      <w:pPr>
        <w:adjustRightInd w:val="0"/>
        <w:rPr>
          <w:color w:val="000000"/>
        </w:rPr>
      </w:pPr>
      <w:r>
        <w:rPr>
          <w:color w:val="000000"/>
        </w:rPr>
        <w:br w:type="page"/>
      </w:r>
    </w:p>
    <w:p w:rsidR="005F6A86" w:rsidRPr="000D45E5" w:rsidRDefault="005F6A86" w:rsidP="005F6A86">
      <w:pPr>
        <w:adjustRightInd w:val="0"/>
        <w:ind w:firstLine="720"/>
        <w:rPr>
          <w:color w:val="000000"/>
        </w:rPr>
      </w:pPr>
      <w:r w:rsidRPr="000D45E5">
        <w:rPr>
          <w:color w:val="000000"/>
        </w:rPr>
        <w:t>Table captions appear centered above the table in upper and lower case letters. When referring to a table in the text, no abbreviation is used</w:t>
      </w:r>
      <w:r>
        <w:rPr>
          <w:color w:val="000000"/>
        </w:rPr>
        <w:t xml:space="preserve"> and "Table" is capitalized. (9</w:t>
      </w:r>
      <w:r w:rsidRPr="000D45E5">
        <w:rPr>
          <w:color w:val="000000"/>
        </w:rPr>
        <w:t>)</w:t>
      </w:r>
      <w:r>
        <w:rPr>
          <w:color w:val="000000"/>
        </w:rPr>
        <w:t xml:space="preserve">. </w:t>
      </w:r>
      <w:r w:rsidRPr="007E7186">
        <w:rPr>
          <w:color w:val="000000"/>
        </w:rPr>
        <w:t>Symbols and abbreviations are defin</w:t>
      </w:r>
      <w:r>
        <w:rPr>
          <w:color w:val="000000"/>
        </w:rPr>
        <w:t>ed immediately below the table.</w:t>
      </w:r>
    </w:p>
    <w:p w:rsidR="005F6A86" w:rsidRDefault="005F6A86" w:rsidP="005F6A86">
      <w:pPr>
        <w:adjustRightInd w:val="0"/>
        <w:jc w:val="center"/>
        <w:rPr>
          <w:b/>
          <w:color w:val="000000"/>
          <w:sz w:val="18"/>
          <w:szCs w:val="18"/>
        </w:rPr>
      </w:pPr>
    </w:p>
    <w:p w:rsidR="005F6A86" w:rsidRPr="0028116C" w:rsidRDefault="005F6A86" w:rsidP="005F6A86">
      <w:pPr>
        <w:adjustRightInd w:val="0"/>
        <w:jc w:val="center"/>
        <w:rPr>
          <w:b/>
          <w:color w:val="000000"/>
          <w:sz w:val="18"/>
          <w:szCs w:val="18"/>
          <w:vertAlign w:val="superscript"/>
        </w:rPr>
      </w:pPr>
      <w:r w:rsidRPr="0028116C">
        <w:rPr>
          <w:b/>
          <w:color w:val="000000"/>
          <w:sz w:val="18"/>
          <w:szCs w:val="18"/>
        </w:rPr>
        <w:t xml:space="preserve">Table 1 Catalytic Alkylation of Resorcinol to 4-tert-butyl Resorcinol and 4,6-di </w:t>
      </w:r>
      <w:proofErr w:type="spellStart"/>
      <w:r w:rsidRPr="0028116C">
        <w:rPr>
          <w:b/>
          <w:color w:val="000000"/>
          <w:sz w:val="18"/>
          <w:szCs w:val="18"/>
        </w:rPr>
        <w:t>tert</w:t>
      </w:r>
      <w:proofErr w:type="spellEnd"/>
      <w:r w:rsidRPr="0028116C">
        <w:rPr>
          <w:b/>
          <w:color w:val="000000"/>
          <w:sz w:val="18"/>
          <w:szCs w:val="18"/>
        </w:rPr>
        <w:t xml:space="preserve">-butyl Resorcinol </w:t>
      </w:r>
      <w:r w:rsidRPr="0028116C">
        <w:rPr>
          <w:b/>
          <w:color w:val="000000"/>
          <w:sz w:val="18"/>
          <w:szCs w:val="18"/>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218"/>
        <w:gridCol w:w="1370"/>
        <w:gridCol w:w="1523"/>
        <w:gridCol w:w="1370"/>
        <w:gridCol w:w="1523"/>
        <w:gridCol w:w="2431"/>
      </w:tblGrid>
      <w:tr w:rsidR="005F6A86" w:rsidRPr="000D45E5" w:rsidTr="00A96358">
        <w:trPr>
          <w:trHeight w:val="20"/>
        </w:trPr>
        <w:tc>
          <w:tcPr>
            <w:tcW w:w="323" w:type="pct"/>
            <w:vMerge w:val="restart"/>
            <w:tcBorders>
              <w:left w:val="nil"/>
              <w:right w:val="nil"/>
            </w:tcBorders>
            <w:shd w:val="clear" w:color="auto" w:fill="E7E6E6"/>
          </w:tcPr>
          <w:p w:rsidR="005F6A86" w:rsidRPr="00784D74" w:rsidRDefault="005F6A86" w:rsidP="00A96358">
            <w:pPr>
              <w:spacing w:after="0"/>
              <w:jc w:val="center"/>
              <w:rPr>
                <w:b/>
                <w:color w:val="000000"/>
                <w:sz w:val="16"/>
                <w:szCs w:val="16"/>
              </w:rPr>
            </w:pPr>
          </w:p>
          <w:p w:rsidR="005F6A86" w:rsidRPr="00784D74" w:rsidRDefault="005F6A86" w:rsidP="00A96358">
            <w:pPr>
              <w:spacing w:after="0"/>
              <w:jc w:val="center"/>
              <w:rPr>
                <w:b/>
                <w:color w:val="000000"/>
                <w:sz w:val="16"/>
                <w:szCs w:val="16"/>
              </w:rPr>
            </w:pPr>
            <w:r w:rsidRPr="00784D74">
              <w:rPr>
                <w:b/>
                <w:color w:val="000000"/>
                <w:sz w:val="16"/>
                <w:szCs w:val="16"/>
              </w:rPr>
              <w:t>Entry</w:t>
            </w:r>
          </w:p>
        </w:tc>
        <w:tc>
          <w:tcPr>
            <w:tcW w:w="604" w:type="pct"/>
            <w:vMerge w:val="restart"/>
            <w:tcBorders>
              <w:left w:val="nil"/>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rPr>
                <w:b/>
                <w:color w:val="000000"/>
                <w:sz w:val="16"/>
                <w:szCs w:val="16"/>
              </w:rPr>
            </w:pPr>
            <w:r w:rsidRPr="00784D74">
              <w:rPr>
                <w:b/>
                <w:color w:val="000000"/>
                <w:sz w:val="16"/>
                <w:szCs w:val="16"/>
              </w:rPr>
              <w:t>Catalysts</w:t>
            </w:r>
          </w:p>
        </w:tc>
        <w:tc>
          <w:tcPr>
            <w:tcW w:w="679" w:type="pct"/>
            <w:vMerge w:val="restart"/>
            <w:tcBorders>
              <w:left w:val="nil"/>
              <w:right w:val="nil"/>
            </w:tcBorders>
            <w:shd w:val="clear" w:color="auto" w:fill="E7E6E6"/>
          </w:tcPr>
          <w:p w:rsidR="005F6A86" w:rsidRPr="00784D74" w:rsidRDefault="005F6A86" w:rsidP="00A96358">
            <w:pPr>
              <w:spacing w:after="0"/>
              <w:jc w:val="center"/>
              <w:rPr>
                <w:b/>
                <w:color w:val="000000"/>
                <w:sz w:val="16"/>
                <w:szCs w:val="16"/>
              </w:rPr>
            </w:pPr>
          </w:p>
          <w:p w:rsidR="005F6A86" w:rsidRPr="00784D74" w:rsidRDefault="005F6A86" w:rsidP="00A96358">
            <w:pPr>
              <w:spacing w:after="0"/>
              <w:jc w:val="center"/>
              <w:rPr>
                <w:b/>
                <w:color w:val="000000"/>
                <w:sz w:val="16"/>
                <w:szCs w:val="16"/>
              </w:rPr>
            </w:pPr>
            <w:r w:rsidRPr="00784D74">
              <w:rPr>
                <w:b/>
                <w:color w:val="000000"/>
                <w:sz w:val="16"/>
                <w:szCs w:val="16"/>
              </w:rPr>
              <w:t>Conversion / %</w:t>
            </w:r>
          </w:p>
          <w:p w:rsidR="005F6A86" w:rsidRPr="00784D74" w:rsidRDefault="005F6A86" w:rsidP="00A96358">
            <w:pPr>
              <w:spacing w:after="0"/>
              <w:jc w:val="center"/>
              <w:rPr>
                <w:b/>
                <w:color w:val="000000"/>
                <w:sz w:val="16"/>
                <w:szCs w:val="16"/>
              </w:rPr>
            </w:pPr>
          </w:p>
        </w:tc>
        <w:tc>
          <w:tcPr>
            <w:tcW w:w="755" w:type="pct"/>
            <w:vMerge w:val="restart"/>
            <w:tcBorders>
              <w:left w:val="nil"/>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jc w:val="center"/>
              <w:rPr>
                <w:b/>
                <w:bCs/>
                <w:color w:val="000000"/>
                <w:sz w:val="16"/>
                <w:szCs w:val="16"/>
                <w:vertAlign w:val="subscript"/>
              </w:rPr>
            </w:pPr>
            <w:r w:rsidRPr="00784D74">
              <w:rPr>
                <w:b/>
                <w:color w:val="000000"/>
                <w:sz w:val="16"/>
                <w:szCs w:val="16"/>
              </w:rPr>
              <w:t xml:space="preserve">Product yield / </w:t>
            </w:r>
            <w:proofErr w:type="spellStart"/>
            <w:r w:rsidRPr="00784D74">
              <w:rPr>
                <w:b/>
                <w:color w:val="000000"/>
                <w:sz w:val="16"/>
                <w:szCs w:val="16"/>
              </w:rPr>
              <w:t>mmol</w:t>
            </w:r>
            <w:proofErr w:type="spellEnd"/>
          </w:p>
          <w:p w:rsidR="005F6A86" w:rsidRPr="00784D74" w:rsidRDefault="005F6A86" w:rsidP="00A96358">
            <w:pPr>
              <w:spacing w:after="0"/>
              <w:rPr>
                <w:b/>
                <w:color w:val="000000"/>
                <w:sz w:val="16"/>
                <w:szCs w:val="16"/>
              </w:rPr>
            </w:pPr>
          </w:p>
        </w:tc>
        <w:tc>
          <w:tcPr>
            <w:tcW w:w="1434" w:type="pct"/>
            <w:gridSpan w:val="2"/>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jc w:val="center"/>
              <w:rPr>
                <w:b/>
                <w:color w:val="000000"/>
                <w:sz w:val="16"/>
                <w:szCs w:val="16"/>
              </w:rPr>
            </w:pPr>
            <w:r w:rsidRPr="00784D74">
              <w:rPr>
                <w:b/>
                <w:color w:val="000000"/>
                <w:sz w:val="16"/>
                <w:szCs w:val="16"/>
              </w:rPr>
              <w:t>Selectivity / %</w:t>
            </w:r>
          </w:p>
          <w:p w:rsidR="005F6A86" w:rsidRPr="00784D74" w:rsidRDefault="005F6A86" w:rsidP="00A96358">
            <w:pPr>
              <w:spacing w:after="0"/>
              <w:jc w:val="center"/>
              <w:rPr>
                <w:b/>
                <w:color w:val="000000"/>
                <w:sz w:val="16"/>
                <w:szCs w:val="16"/>
              </w:rPr>
            </w:pPr>
          </w:p>
        </w:tc>
        <w:tc>
          <w:tcPr>
            <w:tcW w:w="1205" w:type="pct"/>
            <w:vMerge w:val="restart"/>
            <w:tcBorders>
              <w:left w:val="nil"/>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ind w:left="317"/>
              <w:jc w:val="center"/>
              <w:rPr>
                <w:b/>
                <w:color w:val="000000"/>
                <w:sz w:val="16"/>
                <w:szCs w:val="16"/>
              </w:rPr>
            </w:pPr>
            <w:r w:rsidRPr="00784D74">
              <w:rPr>
                <w:b/>
                <w:color w:val="000000"/>
                <w:sz w:val="16"/>
                <w:szCs w:val="16"/>
              </w:rPr>
              <w:t xml:space="preserve">Ratio of Lewis acid to </w:t>
            </w:r>
            <w:proofErr w:type="spellStart"/>
            <w:r w:rsidRPr="00784D74">
              <w:rPr>
                <w:b/>
                <w:color w:val="000000"/>
                <w:sz w:val="16"/>
                <w:szCs w:val="16"/>
              </w:rPr>
              <w:t>Brönsted</w:t>
            </w:r>
            <w:proofErr w:type="spellEnd"/>
            <w:r w:rsidRPr="00784D74">
              <w:rPr>
                <w:b/>
                <w:color w:val="000000"/>
                <w:sz w:val="16"/>
                <w:szCs w:val="16"/>
              </w:rPr>
              <w:t xml:space="preserve"> acid </w:t>
            </w:r>
            <w:r w:rsidRPr="00784D74">
              <w:rPr>
                <w:b/>
                <w:bCs/>
                <w:color w:val="000000"/>
                <w:sz w:val="16"/>
                <w:szCs w:val="16"/>
                <w:vertAlign w:val="superscript"/>
              </w:rPr>
              <w:t>b</w:t>
            </w:r>
          </w:p>
          <w:p w:rsidR="005F6A86" w:rsidRPr="00784D74" w:rsidRDefault="005F6A86" w:rsidP="00A96358">
            <w:pPr>
              <w:spacing w:after="0"/>
              <w:rPr>
                <w:b/>
                <w:color w:val="000000"/>
                <w:sz w:val="16"/>
                <w:szCs w:val="16"/>
              </w:rPr>
            </w:pPr>
          </w:p>
        </w:tc>
      </w:tr>
      <w:tr w:rsidR="005F6A86" w:rsidRPr="000D45E5" w:rsidTr="00A96358">
        <w:trPr>
          <w:trHeight w:val="20"/>
        </w:trPr>
        <w:tc>
          <w:tcPr>
            <w:tcW w:w="323" w:type="pct"/>
            <w:vMerge/>
            <w:tcBorders>
              <w:left w:val="nil"/>
              <w:bottom w:val="single" w:sz="4" w:space="0" w:color="auto"/>
              <w:right w:val="nil"/>
            </w:tcBorders>
            <w:shd w:val="clear" w:color="auto" w:fill="E7E6E6"/>
          </w:tcPr>
          <w:p w:rsidR="005F6A86" w:rsidRPr="00784D74" w:rsidRDefault="005F6A86" w:rsidP="00A96358">
            <w:pPr>
              <w:spacing w:after="0"/>
              <w:jc w:val="center"/>
              <w:rPr>
                <w:b/>
                <w:color w:val="000000"/>
                <w:sz w:val="16"/>
                <w:szCs w:val="16"/>
              </w:rPr>
            </w:pPr>
          </w:p>
        </w:tc>
        <w:tc>
          <w:tcPr>
            <w:tcW w:w="604" w:type="pct"/>
            <w:vMerge/>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tc>
        <w:tc>
          <w:tcPr>
            <w:tcW w:w="679" w:type="pct"/>
            <w:vMerge/>
            <w:tcBorders>
              <w:left w:val="nil"/>
              <w:bottom w:val="single" w:sz="4" w:space="0" w:color="auto"/>
              <w:right w:val="nil"/>
            </w:tcBorders>
            <w:shd w:val="clear" w:color="auto" w:fill="E7E6E6"/>
          </w:tcPr>
          <w:p w:rsidR="005F6A86" w:rsidRPr="00784D74" w:rsidRDefault="005F6A86" w:rsidP="00A96358">
            <w:pPr>
              <w:spacing w:after="0"/>
              <w:jc w:val="center"/>
              <w:rPr>
                <w:b/>
                <w:color w:val="000000"/>
                <w:sz w:val="16"/>
                <w:szCs w:val="16"/>
              </w:rPr>
            </w:pPr>
          </w:p>
        </w:tc>
        <w:tc>
          <w:tcPr>
            <w:tcW w:w="755" w:type="pct"/>
            <w:vMerge/>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tc>
        <w:tc>
          <w:tcPr>
            <w:tcW w:w="679" w:type="pct"/>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ind w:left="175"/>
              <w:rPr>
                <w:b/>
                <w:color w:val="000000"/>
                <w:sz w:val="16"/>
                <w:szCs w:val="16"/>
              </w:rPr>
            </w:pPr>
            <w:r w:rsidRPr="00784D74">
              <w:rPr>
                <w:b/>
                <w:color w:val="000000"/>
                <w:sz w:val="16"/>
                <w:szCs w:val="16"/>
              </w:rPr>
              <w:t>4-tert butyl resorcinol</w:t>
            </w:r>
          </w:p>
        </w:tc>
        <w:tc>
          <w:tcPr>
            <w:tcW w:w="755" w:type="pct"/>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p w:rsidR="005F6A86" w:rsidRPr="00784D74" w:rsidRDefault="005F6A86" w:rsidP="00A96358">
            <w:pPr>
              <w:spacing w:after="0"/>
              <w:ind w:left="175"/>
              <w:jc w:val="center"/>
              <w:rPr>
                <w:b/>
                <w:color w:val="000000"/>
                <w:sz w:val="16"/>
                <w:szCs w:val="16"/>
              </w:rPr>
            </w:pPr>
            <w:r w:rsidRPr="00784D74">
              <w:rPr>
                <w:b/>
                <w:color w:val="000000"/>
                <w:sz w:val="16"/>
                <w:szCs w:val="16"/>
              </w:rPr>
              <w:t xml:space="preserve">4,6-di </w:t>
            </w:r>
            <w:proofErr w:type="spellStart"/>
            <w:r w:rsidRPr="00784D74">
              <w:rPr>
                <w:b/>
                <w:color w:val="000000"/>
                <w:sz w:val="16"/>
                <w:szCs w:val="16"/>
              </w:rPr>
              <w:t>tert</w:t>
            </w:r>
            <w:proofErr w:type="spellEnd"/>
            <w:r w:rsidRPr="00784D74">
              <w:rPr>
                <w:b/>
                <w:color w:val="000000"/>
                <w:sz w:val="16"/>
                <w:szCs w:val="16"/>
              </w:rPr>
              <w:t>-butyl resorcinol</w:t>
            </w:r>
          </w:p>
        </w:tc>
        <w:tc>
          <w:tcPr>
            <w:tcW w:w="1205" w:type="pct"/>
            <w:vMerge/>
            <w:tcBorders>
              <w:left w:val="nil"/>
              <w:bottom w:val="single" w:sz="4" w:space="0" w:color="auto"/>
              <w:right w:val="nil"/>
            </w:tcBorders>
            <w:shd w:val="clear" w:color="auto" w:fill="E7E6E6"/>
          </w:tcPr>
          <w:p w:rsidR="005F6A86" w:rsidRPr="00784D74" w:rsidRDefault="005F6A86" w:rsidP="00A96358">
            <w:pPr>
              <w:spacing w:after="0"/>
              <w:rPr>
                <w:b/>
                <w:color w:val="000000"/>
                <w:sz w:val="16"/>
                <w:szCs w:val="16"/>
              </w:rPr>
            </w:pPr>
          </w:p>
        </w:tc>
      </w:tr>
      <w:tr w:rsidR="005F6A86" w:rsidRPr="000D45E5" w:rsidTr="00A96358">
        <w:trPr>
          <w:trHeight w:val="454"/>
        </w:trPr>
        <w:tc>
          <w:tcPr>
            <w:tcW w:w="323"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bookmarkStart w:id="1" w:name="OLE_LINK3"/>
            <w:bookmarkStart w:id="2" w:name="OLE_LINK4"/>
            <w:r w:rsidRPr="00784D74">
              <w:rPr>
                <w:color w:val="000000"/>
                <w:sz w:val="16"/>
              </w:rPr>
              <w:t>1</w:t>
            </w:r>
          </w:p>
        </w:tc>
        <w:tc>
          <w:tcPr>
            <w:tcW w:w="604" w:type="pct"/>
            <w:tcBorders>
              <w:top w:val="single" w:sz="4" w:space="0" w:color="auto"/>
              <w:left w:val="nil"/>
              <w:bottom w:val="nil"/>
              <w:right w:val="nil"/>
            </w:tcBorders>
            <w:shd w:val="clear" w:color="auto" w:fill="auto"/>
            <w:vAlign w:val="center"/>
          </w:tcPr>
          <w:p w:rsidR="005F6A86" w:rsidRPr="00784D74" w:rsidRDefault="005F6A86" w:rsidP="00A96358">
            <w:pPr>
              <w:pStyle w:val="NoSpacing"/>
              <w:rPr>
                <w:color w:val="000000"/>
                <w:sz w:val="16"/>
              </w:rPr>
            </w:pPr>
            <w:r w:rsidRPr="00784D74">
              <w:rPr>
                <w:color w:val="000000"/>
                <w:sz w:val="16"/>
              </w:rPr>
              <w:t xml:space="preserve">MA </w:t>
            </w:r>
          </w:p>
        </w:tc>
        <w:tc>
          <w:tcPr>
            <w:tcW w:w="679"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r w:rsidRPr="00784D74">
              <w:rPr>
                <w:color w:val="000000"/>
                <w:sz w:val="16"/>
              </w:rPr>
              <w:t>0</w:t>
            </w:r>
          </w:p>
        </w:tc>
        <w:tc>
          <w:tcPr>
            <w:tcW w:w="755"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r w:rsidRPr="00784D74">
              <w:rPr>
                <w:color w:val="000000"/>
                <w:sz w:val="16"/>
              </w:rPr>
              <w:t>0</w:t>
            </w:r>
          </w:p>
        </w:tc>
        <w:tc>
          <w:tcPr>
            <w:tcW w:w="679"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r w:rsidRPr="00784D74">
              <w:rPr>
                <w:color w:val="000000"/>
                <w:sz w:val="16"/>
              </w:rPr>
              <w:t>0</w:t>
            </w:r>
          </w:p>
        </w:tc>
        <w:tc>
          <w:tcPr>
            <w:tcW w:w="755"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r w:rsidRPr="00784D74">
              <w:rPr>
                <w:color w:val="000000"/>
                <w:sz w:val="16"/>
              </w:rPr>
              <w:t>0</w:t>
            </w:r>
          </w:p>
        </w:tc>
        <w:tc>
          <w:tcPr>
            <w:tcW w:w="1205" w:type="pct"/>
            <w:tcBorders>
              <w:top w:val="single" w:sz="4" w:space="0" w:color="auto"/>
              <w:left w:val="nil"/>
              <w:bottom w:val="nil"/>
              <w:right w:val="nil"/>
            </w:tcBorders>
            <w:shd w:val="clear" w:color="auto" w:fill="auto"/>
            <w:vAlign w:val="center"/>
          </w:tcPr>
          <w:p w:rsidR="005F6A86" w:rsidRPr="00784D74" w:rsidRDefault="005F6A86" w:rsidP="00A96358">
            <w:pPr>
              <w:pStyle w:val="NoSpacing"/>
              <w:jc w:val="center"/>
              <w:rPr>
                <w:color w:val="000000"/>
                <w:sz w:val="16"/>
              </w:rPr>
            </w:pPr>
            <w:r w:rsidRPr="00784D74">
              <w:rPr>
                <w:color w:val="000000"/>
                <w:sz w:val="16"/>
              </w:rPr>
              <w:t>0</w:t>
            </w:r>
          </w:p>
        </w:tc>
      </w:tr>
      <w:tr w:rsidR="005F6A86" w:rsidRPr="000D45E5" w:rsidTr="00A96358">
        <w:trPr>
          <w:trHeight w:val="454"/>
        </w:trPr>
        <w:tc>
          <w:tcPr>
            <w:tcW w:w="323"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2</w:t>
            </w:r>
          </w:p>
        </w:tc>
        <w:tc>
          <w:tcPr>
            <w:tcW w:w="604" w:type="pct"/>
            <w:tcBorders>
              <w:top w:val="nil"/>
              <w:left w:val="nil"/>
              <w:bottom w:val="nil"/>
              <w:right w:val="nil"/>
            </w:tcBorders>
            <w:vAlign w:val="center"/>
          </w:tcPr>
          <w:p w:rsidR="005F6A86" w:rsidRPr="000D45E5" w:rsidRDefault="005F6A86" w:rsidP="00A96358">
            <w:pPr>
              <w:pStyle w:val="NoSpacing"/>
              <w:rPr>
                <w:color w:val="000000"/>
                <w:sz w:val="16"/>
              </w:rPr>
            </w:pPr>
            <w:r w:rsidRPr="000D45E5">
              <w:rPr>
                <w:color w:val="000000"/>
                <w:sz w:val="16"/>
              </w:rPr>
              <w:t>3%Ga-BEA</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38.0</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15.6</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97.4</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2.6</w:t>
            </w:r>
          </w:p>
        </w:tc>
        <w:tc>
          <w:tcPr>
            <w:tcW w:w="120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0.5</w:t>
            </w:r>
          </w:p>
        </w:tc>
      </w:tr>
      <w:tr w:rsidR="005F6A86" w:rsidRPr="000D45E5" w:rsidTr="00A96358">
        <w:trPr>
          <w:trHeight w:val="454"/>
        </w:trPr>
        <w:tc>
          <w:tcPr>
            <w:tcW w:w="323"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3</w:t>
            </w:r>
          </w:p>
        </w:tc>
        <w:tc>
          <w:tcPr>
            <w:tcW w:w="604" w:type="pct"/>
            <w:tcBorders>
              <w:top w:val="nil"/>
              <w:left w:val="nil"/>
              <w:bottom w:val="nil"/>
              <w:right w:val="nil"/>
            </w:tcBorders>
            <w:vAlign w:val="center"/>
          </w:tcPr>
          <w:p w:rsidR="005F6A86" w:rsidRPr="000D45E5" w:rsidRDefault="005F6A86" w:rsidP="00A96358">
            <w:pPr>
              <w:pStyle w:val="NoSpacing"/>
              <w:rPr>
                <w:color w:val="000000"/>
                <w:sz w:val="16"/>
              </w:rPr>
            </w:pPr>
            <w:r w:rsidRPr="000D45E5">
              <w:rPr>
                <w:color w:val="000000"/>
                <w:sz w:val="16"/>
              </w:rPr>
              <w:t>8%Ga-BEA</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54.4</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21.7</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95.8</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4.2</w:t>
            </w:r>
          </w:p>
        </w:tc>
        <w:tc>
          <w:tcPr>
            <w:tcW w:w="120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0.7</w:t>
            </w:r>
          </w:p>
        </w:tc>
      </w:tr>
      <w:tr w:rsidR="005F6A86" w:rsidRPr="000D45E5" w:rsidTr="00A96358">
        <w:trPr>
          <w:trHeight w:val="454"/>
        </w:trPr>
        <w:tc>
          <w:tcPr>
            <w:tcW w:w="323"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4</w:t>
            </w:r>
          </w:p>
        </w:tc>
        <w:tc>
          <w:tcPr>
            <w:tcW w:w="604" w:type="pct"/>
            <w:tcBorders>
              <w:top w:val="nil"/>
              <w:left w:val="nil"/>
              <w:bottom w:val="nil"/>
              <w:right w:val="nil"/>
            </w:tcBorders>
            <w:vAlign w:val="center"/>
          </w:tcPr>
          <w:p w:rsidR="005F6A86" w:rsidRPr="000D45E5" w:rsidRDefault="005F6A86" w:rsidP="00A96358">
            <w:pPr>
              <w:pStyle w:val="NoSpacing"/>
              <w:rPr>
                <w:color w:val="000000"/>
                <w:sz w:val="16"/>
              </w:rPr>
            </w:pPr>
            <w:r w:rsidRPr="000D45E5">
              <w:rPr>
                <w:color w:val="000000"/>
                <w:sz w:val="16"/>
              </w:rPr>
              <w:t>10%Ga-BEA</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59.1</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23.6</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100</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0</w:t>
            </w:r>
          </w:p>
        </w:tc>
        <w:tc>
          <w:tcPr>
            <w:tcW w:w="120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1.0</w:t>
            </w:r>
          </w:p>
        </w:tc>
      </w:tr>
      <w:tr w:rsidR="005F6A86" w:rsidRPr="000D45E5" w:rsidTr="00A96358">
        <w:trPr>
          <w:trHeight w:val="454"/>
        </w:trPr>
        <w:tc>
          <w:tcPr>
            <w:tcW w:w="323"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5</w:t>
            </w:r>
          </w:p>
          <w:p w:rsidR="005F6A86" w:rsidRPr="000D45E5" w:rsidRDefault="005F6A86" w:rsidP="00A96358">
            <w:pPr>
              <w:pStyle w:val="NoSpacing"/>
              <w:jc w:val="center"/>
              <w:rPr>
                <w:color w:val="000000"/>
                <w:sz w:val="16"/>
              </w:rPr>
            </w:pPr>
          </w:p>
        </w:tc>
        <w:tc>
          <w:tcPr>
            <w:tcW w:w="604" w:type="pct"/>
            <w:tcBorders>
              <w:top w:val="nil"/>
              <w:left w:val="nil"/>
              <w:bottom w:val="nil"/>
              <w:right w:val="nil"/>
            </w:tcBorders>
            <w:vAlign w:val="center"/>
          </w:tcPr>
          <w:p w:rsidR="005F6A86" w:rsidRPr="000D45E5" w:rsidRDefault="005F6A86" w:rsidP="00A96358">
            <w:pPr>
              <w:pStyle w:val="NoSpacing"/>
              <w:rPr>
                <w:bCs/>
                <w:color w:val="000000"/>
                <w:sz w:val="16"/>
              </w:rPr>
            </w:pPr>
            <w:r w:rsidRPr="000D45E5">
              <w:rPr>
                <w:color w:val="000000"/>
                <w:sz w:val="16"/>
              </w:rPr>
              <w:t>25%Ga-BEA</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32.2</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12.9</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100</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0</w:t>
            </w:r>
          </w:p>
        </w:tc>
        <w:tc>
          <w:tcPr>
            <w:tcW w:w="120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1.5</w:t>
            </w:r>
          </w:p>
        </w:tc>
      </w:tr>
      <w:tr w:rsidR="005F6A86" w:rsidRPr="000D45E5" w:rsidTr="00A96358">
        <w:trPr>
          <w:trHeight w:val="454"/>
        </w:trPr>
        <w:tc>
          <w:tcPr>
            <w:tcW w:w="323"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6</w:t>
            </w:r>
          </w:p>
        </w:tc>
        <w:tc>
          <w:tcPr>
            <w:tcW w:w="604" w:type="pct"/>
            <w:tcBorders>
              <w:top w:val="nil"/>
              <w:left w:val="nil"/>
              <w:bottom w:val="nil"/>
              <w:right w:val="nil"/>
            </w:tcBorders>
            <w:vAlign w:val="center"/>
          </w:tcPr>
          <w:p w:rsidR="005F6A86" w:rsidRPr="000D45E5" w:rsidRDefault="005F6A86" w:rsidP="00A96358">
            <w:pPr>
              <w:pStyle w:val="NoSpacing"/>
              <w:rPr>
                <w:bCs/>
                <w:color w:val="000000"/>
                <w:sz w:val="16"/>
              </w:rPr>
            </w:pPr>
            <w:r w:rsidRPr="000D45E5">
              <w:rPr>
                <w:bCs/>
                <w:color w:val="000000"/>
                <w:sz w:val="16"/>
              </w:rPr>
              <w:t>H</w:t>
            </w:r>
            <w:r w:rsidRPr="000D45E5">
              <w:rPr>
                <w:bCs/>
                <w:color w:val="000000"/>
                <w:sz w:val="16"/>
                <w:vertAlign w:val="subscript"/>
              </w:rPr>
              <w:t>2</w:t>
            </w:r>
            <w:r w:rsidRPr="000D45E5">
              <w:rPr>
                <w:bCs/>
                <w:color w:val="000000"/>
                <w:sz w:val="16"/>
              </w:rPr>
              <w:t>SO</w:t>
            </w:r>
            <w:r w:rsidRPr="000D45E5">
              <w:rPr>
                <w:bCs/>
                <w:color w:val="000000"/>
                <w:sz w:val="16"/>
                <w:vertAlign w:val="subscript"/>
              </w:rPr>
              <w:t xml:space="preserve">4 </w:t>
            </w:r>
            <w:r w:rsidRPr="000D45E5">
              <w:rPr>
                <w:bCs/>
                <w:color w:val="000000"/>
                <w:sz w:val="16"/>
                <w:vertAlign w:val="superscript"/>
              </w:rPr>
              <w:t>c</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6.5</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2.6</w:t>
            </w:r>
          </w:p>
        </w:tc>
        <w:tc>
          <w:tcPr>
            <w:tcW w:w="679"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96.0</w:t>
            </w:r>
          </w:p>
        </w:tc>
        <w:tc>
          <w:tcPr>
            <w:tcW w:w="75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4.0</w:t>
            </w:r>
          </w:p>
        </w:tc>
        <w:tc>
          <w:tcPr>
            <w:tcW w:w="1205" w:type="pct"/>
            <w:tcBorders>
              <w:top w:val="nil"/>
              <w:left w:val="nil"/>
              <w:bottom w:val="nil"/>
              <w:right w:val="nil"/>
            </w:tcBorders>
            <w:vAlign w:val="center"/>
          </w:tcPr>
          <w:p w:rsidR="005F6A86" w:rsidRPr="000D45E5" w:rsidRDefault="005F6A86" w:rsidP="00A96358">
            <w:pPr>
              <w:pStyle w:val="NoSpacing"/>
              <w:jc w:val="center"/>
              <w:rPr>
                <w:color w:val="000000"/>
                <w:sz w:val="16"/>
              </w:rPr>
            </w:pPr>
            <w:r w:rsidRPr="000D45E5">
              <w:rPr>
                <w:color w:val="000000"/>
                <w:sz w:val="16"/>
              </w:rPr>
              <w:t xml:space="preserve">contain only </w:t>
            </w:r>
            <w:proofErr w:type="spellStart"/>
            <w:r w:rsidRPr="000D45E5">
              <w:rPr>
                <w:color w:val="000000"/>
                <w:sz w:val="16"/>
              </w:rPr>
              <w:t>Brönsted</w:t>
            </w:r>
            <w:proofErr w:type="spellEnd"/>
            <w:r w:rsidRPr="000D45E5">
              <w:rPr>
                <w:color w:val="000000"/>
                <w:sz w:val="16"/>
              </w:rPr>
              <w:t xml:space="preserve"> acid</w:t>
            </w:r>
          </w:p>
        </w:tc>
      </w:tr>
      <w:tr w:rsidR="005F6A86" w:rsidRPr="000D45E5" w:rsidTr="00A96358">
        <w:trPr>
          <w:trHeight w:val="454"/>
        </w:trPr>
        <w:tc>
          <w:tcPr>
            <w:tcW w:w="323"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7</w:t>
            </w:r>
          </w:p>
        </w:tc>
        <w:tc>
          <w:tcPr>
            <w:tcW w:w="604" w:type="pct"/>
            <w:tcBorders>
              <w:top w:val="nil"/>
              <w:left w:val="nil"/>
              <w:bottom w:val="single" w:sz="4" w:space="0" w:color="auto"/>
              <w:right w:val="nil"/>
            </w:tcBorders>
            <w:vAlign w:val="center"/>
          </w:tcPr>
          <w:p w:rsidR="005F6A86" w:rsidRPr="000D45E5" w:rsidRDefault="005F6A86" w:rsidP="00A96358">
            <w:pPr>
              <w:pStyle w:val="NoSpacing"/>
              <w:rPr>
                <w:bCs/>
                <w:color w:val="000000"/>
                <w:sz w:val="16"/>
              </w:rPr>
            </w:pPr>
            <w:r w:rsidRPr="000D45E5">
              <w:rPr>
                <w:bCs/>
                <w:color w:val="000000"/>
                <w:sz w:val="16"/>
              </w:rPr>
              <w:t>MA + H</w:t>
            </w:r>
            <w:r w:rsidRPr="000D45E5">
              <w:rPr>
                <w:bCs/>
                <w:color w:val="000000"/>
                <w:sz w:val="16"/>
                <w:vertAlign w:val="subscript"/>
              </w:rPr>
              <w:t>2</w:t>
            </w:r>
            <w:r w:rsidRPr="000D45E5">
              <w:rPr>
                <w:bCs/>
                <w:color w:val="000000"/>
                <w:sz w:val="16"/>
              </w:rPr>
              <w:t>SO</w:t>
            </w:r>
            <w:r w:rsidRPr="000D45E5">
              <w:rPr>
                <w:bCs/>
                <w:color w:val="000000"/>
                <w:sz w:val="16"/>
                <w:vertAlign w:val="subscript"/>
              </w:rPr>
              <w:t xml:space="preserve">4 </w:t>
            </w:r>
            <w:r w:rsidRPr="000D45E5">
              <w:rPr>
                <w:bCs/>
                <w:color w:val="000000"/>
                <w:sz w:val="16"/>
                <w:vertAlign w:val="superscript"/>
              </w:rPr>
              <w:t>d</w:t>
            </w:r>
          </w:p>
        </w:tc>
        <w:tc>
          <w:tcPr>
            <w:tcW w:w="679"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6.0</w:t>
            </w:r>
          </w:p>
        </w:tc>
        <w:tc>
          <w:tcPr>
            <w:tcW w:w="755"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2.4</w:t>
            </w:r>
          </w:p>
        </w:tc>
        <w:tc>
          <w:tcPr>
            <w:tcW w:w="679"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96.0</w:t>
            </w:r>
          </w:p>
        </w:tc>
        <w:tc>
          <w:tcPr>
            <w:tcW w:w="755"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4.0</w:t>
            </w:r>
          </w:p>
        </w:tc>
        <w:tc>
          <w:tcPr>
            <w:tcW w:w="1205" w:type="pct"/>
            <w:tcBorders>
              <w:top w:val="nil"/>
              <w:left w:val="nil"/>
              <w:bottom w:val="single" w:sz="4" w:space="0" w:color="auto"/>
              <w:right w:val="nil"/>
            </w:tcBorders>
            <w:vAlign w:val="center"/>
          </w:tcPr>
          <w:p w:rsidR="005F6A86" w:rsidRPr="000D45E5" w:rsidRDefault="005F6A86" w:rsidP="00A96358">
            <w:pPr>
              <w:pStyle w:val="NoSpacing"/>
              <w:jc w:val="center"/>
              <w:rPr>
                <w:color w:val="000000"/>
                <w:sz w:val="16"/>
              </w:rPr>
            </w:pPr>
            <w:r w:rsidRPr="000D45E5">
              <w:rPr>
                <w:color w:val="000000"/>
                <w:sz w:val="16"/>
              </w:rPr>
              <w:t>1.0</w:t>
            </w:r>
          </w:p>
        </w:tc>
      </w:tr>
      <w:bookmarkEnd w:id="1"/>
      <w:bookmarkEnd w:id="2"/>
    </w:tbl>
    <w:p w:rsidR="005F6A86" w:rsidRPr="000D45E5" w:rsidRDefault="005F6A86" w:rsidP="005F6A86">
      <w:pPr>
        <w:adjustRightInd w:val="0"/>
        <w:ind w:left="-1134"/>
        <w:rPr>
          <w:bCs/>
          <w:color w:val="000000"/>
          <w:sz w:val="16"/>
          <w:szCs w:val="16"/>
          <w:vertAlign w:val="superscript"/>
        </w:rPr>
      </w:pPr>
    </w:p>
    <w:p w:rsidR="005F6A86" w:rsidRPr="000D45E5" w:rsidRDefault="005F6A86" w:rsidP="005F6A86">
      <w:pPr>
        <w:adjustRightInd w:val="0"/>
        <w:ind w:left="284" w:hanging="284"/>
        <w:rPr>
          <w:bCs/>
          <w:color w:val="000000"/>
          <w:sz w:val="16"/>
          <w:szCs w:val="16"/>
        </w:rPr>
      </w:pPr>
      <w:proofErr w:type="spellStart"/>
      <w:r w:rsidRPr="000D45E5">
        <w:rPr>
          <w:bCs/>
          <w:color w:val="000000"/>
          <w:sz w:val="16"/>
          <w:szCs w:val="16"/>
          <w:vertAlign w:val="superscript"/>
        </w:rPr>
        <w:t>a</w:t>
      </w:r>
      <w:proofErr w:type="spellEnd"/>
      <w:r w:rsidRPr="000D45E5">
        <w:rPr>
          <w:bCs/>
          <w:color w:val="000000"/>
          <w:sz w:val="16"/>
          <w:szCs w:val="16"/>
          <w:vertAlign w:val="superscript"/>
        </w:rPr>
        <w:t xml:space="preserve">     </w:t>
      </w:r>
      <w:r w:rsidRPr="000D45E5">
        <w:rPr>
          <w:bCs/>
          <w:color w:val="000000"/>
          <w:sz w:val="16"/>
          <w:szCs w:val="16"/>
          <w:vertAlign w:val="superscript"/>
        </w:rPr>
        <w:tab/>
      </w:r>
      <w:r w:rsidRPr="000D45E5">
        <w:rPr>
          <w:bCs/>
          <w:color w:val="000000"/>
          <w:sz w:val="16"/>
          <w:szCs w:val="16"/>
        </w:rPr>
        <w:t xml:space="preserve">All reactions were carried out at 80 °C for 8 h with resorcinol (40 </w:t>
      </w:r>
      <w:proofErr w:type="spellStart"/>
      <w:r w:rsidRPr="000D45E5">
        <w:rPr>
          <w:bCs/>
          <w:color w:val="000000"/>
          <w:sz w:val="16"/>
          <w:szCs w:val="16"/>
        </w:rPr>
        <w:t>mmol</w:t>
      </w:r>
      <w:proofErr w:type="spellEnd"/>
      <w:r w:rsidRPr="000D45E5">
        <w:rPr>
          <w:bCs/>
          <w:color w:val="000000"/>
          <w:sz w:val="16"/>
          <w:szCs w:val="16"/>
        </w:rPr>
        <w:t xml:space="preserve">), MTBE (60 </w:t>
      </w:r>
      <w:proofErr w:type="spellStart"/>
      <w:r w:rsidRPr="000D45E5">
        <w:rPr>
          <w:bCs/>
          <w:color w:val="000000"/>
          <w:sz w:val="16"/>
          <w:szCs w:val="16"/>
        </w:rPr>
        <w:t>mmol</w:t>
      </w:r>
      <w:proofErr w:type="spellEnd"/>
      <w:r w:rsidRPr="000D45E5">
        <w:rPr>
          <w:bCs/>
          <w:color w:val="000000"/>
          <w:sz w:val="16"/>
          <w:szCs w:val="16"/>
        </w:rPr>
        <w:t>) and catalyst (0.2 g) with vigorous stirring.</w:t>
      </w:r>
    </w:p>
    <w:p w:rsidR="005F6A86" w:rsidRPr="000D45E5" w:rsidRDefault="005F6A86" w:rsidP="005F6A86">
      <w:pPr>
        <w:adjustRightInd w:val="0"/>
        <w:ind w:left="284" w:hanging="284"/>
        <w:rPr>
          <w:color w:val="000000"/>
          <w:sz w:val="16"/>
          <w:szCs w:val="16"/>
        </w:rPr>
      </w:pPr>
      <w:r w:rsidRPr="000D45E5">
        <w:rPr>
          <w:bCs/>
          <w:color w:val="000000"/>
          <w:sz w:val="16"/>
          <w:szCs w:val="16"/>
          <w:vertAlign w:val="superscript"/>
        </w:rPr>
        <w:t>b</w:t>
      </w:r>
      <w:r w:rsidRPr="000D45E5">
        <w:rPr>
          <w:bCs/>
          <w:color w:val="000000"/>
          <w:sz w:val="16"/>
          <w:szCs w:val="16"/>
        </w:rPr>
        <w:t xml:space="preserve">   </w:t>
      </w:r>
      <w:r w:rsidRPr="000D45E5">
        <w:rPr>
          <w:bCs/>
          <w:color w:val="000000"/>
          <w:sz w:val="16"/>
          <w:szCs w:val="16"/>
        </w:rPr>
        <w:tab/>
        <w:t xml:space="preserve">The ratio </w:t>
      </w:r>
      <w:r w:rsidRPr="000D45E5">
        <w:rPr>
          <w:color w:val="000000"/>
          <w:sz w:val="16"/>
          <w:szCs w:val="16"/>
        </w:rPr>
        <w:t xml:space="preserve">of Lewis acid to </w:t>
      </w:r>
      <w:proofErr w:type="spellStart"/>
      <w:r w:rsidRPr="000D45E5">
        <w:rPr>
          <w:color w:val="000000"/>
          <w:sz w:val="16"/>
          <w:szCs w:val="16"/>
        </w:rPr>
        <w:t>Brönsted</w:t>
      </w:r>
      <w:proofErr w:type="spellEnd"/>
      <w:r w:rsidRPr="000D45E5">
        <w:rPr>
          <w:color w:val="000000"/>
          <w:sz w:val="16"/>
          <w:szCs w:val="16"/>
        </w:rPr>
        <w:t xml:space="preserve"> acid </w:t>
      </w:r>
      <w:r w:rsidRPr="000D45E5">
        <w:rPr>
          <w:bCs/>
          <w:color w:val="000000"/>
          <w:sz w:val="16"/>
          <w:szCs w:val="16"/>
        </w:rPr>
        <w:t>is calculated by using the peak area of peaks at wavenumber of 1540 cm</w:t>
      </w:r>
      <w:r w:rsidRPr="000D45E5">
        <w:rPr>
          <w:bCs/>
          <w:color w:val="000000"/>
          <w:sz w:val="16"/>
          <w:szCs w:val="16"/>
          <w:vertAlign w:val="superscript"/>
        </w:rPr>
        <w:t>-1</w:t>
      </w:r>
      <w:r w:rsidRPr="000D45E5">
        <w:rPr>
          <w:bCs/>
          <w:color w:val="000000"/>
          <w:sz w:val="16"/>
          <w:szCs w:val="16"/>
        </w:rPr>
        <w:t xml:space="preserve"> and 1450 cm</w:t>
      </w:r>
      <w:r w:rsidRPr="000D45E5">
        <w:rPr>
          <w:bCs/>
          <w:color w:val="000000"/>
          <w:sz w:val="16"/>
          <w:szCs w:val="16"/>
          <w:vertAlign w:val="superscript"/>
        </w:rPr>
        <w:t>-1</w:t>
      </w:r>
      <w:r w:rsidRPr="000D45E5">
        <w:rPr>
          <w:bCs/>
          <w:color w:val="000000"/>
          <w:sz w:val="16"/>
          <w:szCs w:val="16"/>
        </w:rPr>
        <w:t xml:space="preserve"> for </w:t>
      </w:r>
      <w:proofErr w:type="spellStart"/>
      <w:r w:rsidRPr="000D45E5">
        <w:rPr>
          <w:color w:val="000000"/>
          <w:sz w:val="16"/>
          <w:szCs w:val="16"/>
        </w:rPr>
        <w:t>Brönsted</w:t>
      </w:r>
      <w:proofErr w:type="spellEnd"/>
      <w:r w:rsidRPr="000D45E5">
        <w:rPr>
          <w:color w:val="000000"/>
          <w:sz w:val="16"/>
          <w:szCs w:val="16"/>
        </w:rPr>
        <w:t xml:space="preserve"> and Lewis acids, respectively (see Fig. 1). </w:t>
      </w:r>
    </w:p>
    <w:p w:rsidR="005F6A86" w:rsidRPr="000D45E5" w:rsidRDefault="005F6A86" w:rsidP="005F6A86">
      <w:pPr>
        <w:adjustRightInd w:val="0"/>
        <w:ind w:left="284" w:hanging="284"/>
        <w:rPr>
          <w:bCs/>
          <w:color w:val="000000"/>
          <w:sz w:val="16"/>
          <w:szCs w:val="16"/>
        </w:rPr>
      </w:pPr>
      <w:r w:rsidRPr="000D45E5">
        <w:rPr>
          <w:bCs/>
          <w:color w:val="000000"/>
          <w:sz w:val="16"/>
          <w:szCs w:val="16"/>
          <w:vertAlign w:val="superscript"/>
        </w:rPr>
        <w:t xml:space="preserve">c     </w:t>
      </w:r>
      <w:r w:rsidRPr="000D45E5">
        <w:rPr>
          <w:bCs/>
          <w:color w:val="000000"/>
          <w:sz w:val="16"/>
          <w:szCs w:val="16"/>
          <w:vertAlign w:val="superscript"/>
        </w:rPr>
        <w:tab/>
      </w:r>
      <w:r w:rsidRPr="000D45E5">
        <w:rPr>
          <w:bCs/>
          <w:color w:val="000000"/>
          <w:sz w:val="16"/>
          <w:szCs w:val="16"/>
        </w:rPr>
        <w:t>The amount of H</w:t>
      </w:r>
      <w:r w:rsidRPr="000D45E5">
        <w:rPr>
          <w:bCs/>
          <w:color w:val="000000"/>
          <w:sz w:val="16"/>
          <w:szCs w:val="16"/>
          <w:vertAlign w:val="subscript"/>
        </w:rPr>
        <w:t>2</w:t>
      </w:r>
      <w:r w:rsidRPr="000D45E5">
        <w:rPr>
          <w:bCs/>
          <w:color w:val="000000"/>
          <w:sz w:val="16"/>
          <w:szCs w:val="16"/>
        </w:rPr>
        <w:t>SO</w:t>
      </w:r>
      <w:r w:rsidRPr="000D45E5">
        <w:rPr>
          <w:bCs/>
          <w:color w:val="000000"/>
          <w:sz w:val="16"/>
          <w:szCs w:val="16"/>
          <w:vertAlign w:val="subscript"/>
        </w:rPr>
        <w:t xml:space="preserve">4 </w:t>
      </w:r>
      <w:r w:rsidRPr="000D45E5">
        <w:rPr>
          <w:bCs/>
          <w:color w:val="000000"/>
          <w:sz w:val="16"/>
          <w:szCs w:val="16"/>
        </w:rPr>
        <w:t xml:space="preserve">is 25 </w:t>
      </w:r>
      <w:r w:rsidRPr="000D45E5">
        <w:rPr>
          <w:bCs/>
          <w:color w:val="000000"/>
          <w:sz w:val="16"/>
          <w:szCs w:val="16"/>
        </w:rPr>
        <w:t xml:space="preserve">mol.  </w:t>
      </w:r>
    </w:p>
    <w:p w:rsidR="005F6A86" w:rsidRDefault="005F6A86" w:rsidP="005F6A86">
      <w:pPr>
        <w:adjustRightInd w:val="0"/>
        <w:ind w:left="284" w:hanging="284"/>
        <w:rPr>
          <w:color w:val="000000"/>
          <w:sz w:val="16"/>
          <w:szCs w:val="16"/>
        </w:rPr>
      </w:pPr>
      <w:r w:rsidRPr="000D45E5">
        <w:rPr>
          <w:bCs/>
          <w:color w:val="000000"/>
          <w:sz w:val="16"/>
          <w:szCs w:val="16"/>
          <w:vertAlign w:val="superscript"/>
        </w:rPr>
        <w:t xml:space="preserve">d    </w:t>
      </w:r>
      <w:r w:rsidRPr="000D45E5">
        <w:rPr>
          <w:bCs/>
          <w:color w:val="000000"/>
          <w:sz w:val="16"/>
          <w:szCs w:val="16"/>
          <w:vertAlign w:val="superscript"/>
        </w:rPr>
        <w:tab/>
      </w:r>
      <w:r w:rsidRPr="000D45E5">
        <w:rPr>
          <w:color w:val="000000"/>
          <w:sz w:val="16"/>
          <w:szCs w:val="16"/>
        </w:rPr>
        <w:t>The MA in a solution containing H</w:t>
      </w:r>
      <w:r w:rsidRPr="000D45E5">
        <w:rPr>
          <w:color w:val="000000"/>
          <w:sz w:val="16"/>
          <w:szCs w:val="16"/>
          <w:vertAlign w:val="subscript"/>
        </w:rPr>
        <w:t>2</w:t>
      </w:r>
      <w:r w:rsidRPr="000D45E5">
        <w:rPr>
          <w:color w:val="000000"/>
          <w:sz w:val="16"/>
          <w:szCs w:val="16"/>
        </w:rPr>
        <w:t>SO</w:t>
      </w:r>
      <w:r w:rsidRPr="000D45E5">
        <w:rPr>
          <w:color w:val="000000"/>
          <w:sz w:val="16"/>
          <w:szCs w:val="16"/>
          <w:vertAlign w:val="subscript"/>
        </w:rPr>
        <w:t>4</w:t>
      </w:r>
      <w:r w:rsidRPr="000D45E5">
        <w:rPr>
          <w:color w:val="000000"/>
          <w:sz w:val="16"/>
          <w:szCs w:val="16"/>
        </w:rPr>
        <w:t>. The amount of MA and H</w:t>
      </w:r>
      <w:r w:rsidRPr="000D45E5">
        <w:rPr>
          <w:color w:val="000000"/>
          <w:sz w:val="16"/>
          <w:szCs w:val="16"/>
          <w:vertAlign w:val="subscript"/>
        </w:rPr>
        <w:t>2</w:t>
      </w:r>
      <w:r w:rsidRPr="000D45E5">
        <w:rPr>
          <w:color w:val="000000"/>
          <w:sz w:val="16"/>
          <w:szCs w:val="16"/>
        </w:rPr>
        <w:t>SO</w:t>
      </w:r>
      <w:r w:rsidRPr="000D45E5">
        <w:rPr>
          <w:color w:val="000000"/>
          <w:sz w:val="16"/>
          <w:szCs w:val="16"/>
          <w:vertAlign w:val="subscript"/>
        </w:rPr>
        <w:t>4</w:t>
      </w:r>
      <w:r w:rsidRPr="000D45E5">
        <w:rPr>
          <w:color w:val="000000"/>
          <w:sz w:val="16"/>
          <w:szCs w:val="16"/>
        </w:rPr>
        <w:t xml:space="preserve"> are similar as entries 1 and 6, respectively.</w:t>
      </w:r>
    </w:p>
    <w:p w:rsidR="005F6A86" w:rsidRDefault="005F6A86" w:rsidP="005F6A86"/>
    <w:p w:rsidR="005F6A86" w:rsidRPr="00953F44" w:rsidRDefault="005F6A86" w:rsidP="005F6A86">
      <w:pPr>
        <w:pStyle w:val="Heading1"/>
        <w:rPr>
          <w:color w:val="0070C0"/>
        </w:rPr>
      </w:pPr>
      <w:r>
        <w:rPr>
          <w:color w:val="0070C0"/>
        </w:rPr>
        <w:t>3</w:t>
      </w:r>
      <w:r w:rsidRPr="00953F44">
        <w:rPr>
          <w:color w:val="0070C0"/>
        </w:rPr>
        <w:t>.0 METHOD (11 BOLD)</w:t>
      </w:r>
    </w:p>
    <w:p w:rsidR="005F6A86" w:rsidRPr="00B547AB" w:rsidRDefault="005F6A86" w:rsidP="005F6A86">
      <w:pPr>
        <w:rPr>
          <w:lang w:val="en-MY" w:eastAsia="en-MY"/>
        </w:rPr>
      </w:pPr>
      <w:r w:rsidRPr="00B547AB">
        <w:rPr>
          <w:lang w:val="en-MY" w:eastAsia="en-MY"/>
        </w:rPr>
        <w:t xml:space="preserve">Method is proposal of new or an overviews of recent technical and methodological developments. Articles should present a new experimental, engineering, scientific or computational method, test or procedure. The method described may either be completely new, or may offer a better version of an existing method. </w:t>
      </w:r>
    </w:p>
    <w:p w:rsidR="005F6A86" w:rsidRPr="00B547AB" w:rsidRDefault="005F6A86" w:rsidP="005F6A86">
      <w:pPr>
        <w:ind w:firstLine="720"/>
        <w:rPr>
          <w:b/>
        </w:rPr>
      </w:pPr>
      <w:r>
        <w:rPr>
          <w:lang w:val="en-MY" w:eastAsia="en-MY"/>
        </w:rPr>
        <w:t>Method</w:t>
      </w:r>
      <w:r w:rsidRPr="00B547AB">
        <w:rPr>
          <w:lang w:val="en-MY" w:eastAsia="en-MY"/>
        </w:rPr>
        <w:t xml:space="preserve"> must be proven by its validation, its application to an important research question and results illustrating its performance in comparison to existing approaches. Articles should possess thorough assessments of methodological performance and comprehensive technical descriptions that facilitate immediate application by researchers in the field.</w:t>
      </w:r>
    </w:p>
    <w:p w:rsidR="005F6A86" w:rsidRPr="00953F44" w:rsidRDefault="005F6A86" w:rsidP="005F6A86">
      <w:pPr>
        <w:pStyle w:val="Heading1"/>
        <w:rPr>
          <w:color w:val="0070C0"/>
        </w:rPr>
      </w:pPr>
      <w:r>
        <w:rPr>
          <w:color w:val="0070C0"/>
        </w:rPr>
        <w:t>4.0 RESULT</w:t>
      </w:r>
      <w:r w:rsidRPr="00953F44">
        <w:rPr>
          <w:color w:val="0070C0"/>
        </w:rPr>
        <w:t xml:space="preserve"> (11 BOLD)</w:t>
      </w:r>
    </w:p>
    <w:p w:rsidR="005F6A86" w:rsidRPr="00C94DFD" w:rsidRDefault="005F6A86" w:rsidP="005F6A86">
      <w:pPr>
        <w:rPr>
          <w:color w:val="000000"/>
          <w:szCs w:val="22"/>
          <w:lang w:val="en-MY" w:eastAsia="en-MY"/>
        </w:rPr>
      </w:pPr>
      <w:r>
        <w:rPr>
          <w:color w:val="000000"/>
          <w:szCs w:val="22"/>
          <w:lang w:val="en-MY" w:eastAsia="en-MY"/>
        </w:rPr>
        <w:t>Present your result</w:t>
      </w:r>
      <w:r w:rsidRPr="00C94DFD">
        <w:rPr>
          <w:color w:val="000000"/>
          <w:szCs w:val="22"/>
          <w:lang w:val="en-MY" w:eastAsia="en-MY"/>
        </w:rPr>
        <w:t xml:space="preserve"> in logical sequence in the text, tables and illustrations. Do not repeat in the text all the data in the tables or illustrations, or both: emphasise or summarise only important observations.</w:t>
      </w:r>
    </w:p>
    <w:p w:rsidR="005F6A86" w:rsidRPr="00953F44" w:rsidRDefault="005F6A86" w:rsidP="005F6A86">
      <w:pPr>
        <w:pStyle w:val="Heading1"/>
        <w:rPr>
          <w:color w:val="0070C0"/>
        </w:rPr>
      </w:pPr>
      <w:r>
        <w:rPr>
          <w:color w:val="0070C0"/>
        </w:rPr>
        <w:t>5.0 DISCUSSION</w:t>
      </w:r>
      <w:r w:rsidRPr="00953F44">
        <w:rPr>
          <w:color w:val="0070C0"/>
        </w:rPr>
        <w:t xml:space="preserve"> (11 BOLD)</w:t>
      </w:r>
    </w:p>
    <w:p w:rsidR="005F6A86" w:rsidRDefault="005F6A86" w:rsidP="005F6A86">
      <w:pPr>
        <w:rPr>
          <w:color w:val="000000"/>
          <w:lang w:val="en-MY" w:eastAsia="en-MY"/>
        </w:rPr>
      </w:pPr>
      <w:r w:rsidRPr="007A37D7">
        <w:rPr>
          <w:color w:val="000000"/>
          <w:lang w:val="en-MY" w:eastAsia="en-MY"/>
        </w:rPr>
        <w:t>Emphasise the new and important aspe</w:t>
      </w:r>
      <w:r>
        <w:rPr>
          <w:color w:val="000000"/>
          <w:lang w:val="en-MY" w:eastAsia="en-MY"/>
        </w:rPr>
        <w:t>cts of the study and conclusion</w:t>
      </w:r>
      <w:r w:rsidRPr="007A37D7">
        <w:rPr>
          <w:color w:val="000000"/>
          <w:lang w:val="en-MY" w:eastAsia="en-MY"/>
        </w:rPr>
        <w:t xml:space="preserve"> that follow from them. Do not repeat in detail data give</w:t>
      </w:r>
      <w:r>
        <w:rPr>
          <w:color w:val="000000"/>
          <w:lang w:val="en-MY" w:eastAsia="en-MY"/>
        </w:rPr>
        <w:t>n in the Result</w:t>
      </w:r>
      <w:r w:rsidRPr="007A37D7">
        <w:rPr>
          <w:color w:val="000000"/>
          <w:lang w:val="en-MY" w:eastAsia="en-MY"/>
        </w:rPr>
        <w:t xml:space="preserve"> section. Include in the Discussion the implications of the findings and their limitations and relate the observations to other relevant studies.</w:t>
      </w:r>
    </w:p>
    <w:p w:rsidR="005F6A86" w:rsidRPr="00953F44" w:rsidRDefault="005F6A86" w:rsidP="005F6A86">
      <w:pPr>
        <w:pStyle w:val="Heading1"/>
        <w:rPr>
          <w:color w:val="0070C0"/>
        </w:rPr>
      </w:pPr>
      <w:r>
        <w:rPr>
          <w:color w:val="0070C0"/>
        </w:rPr>
        <w:t>6</w:t>
      </w:r>
      <w:r w:rsidRPr="00953F44">
        <w:rPr>
          <w:color w:val="0070C0"/>
        </w:rPr>
        <w:t>.0 CONCLUSION (11 BOLD)</w:t>
      </w:r>
    </w:p>
    <w:p w:rsidR="005F6A86" w:rsidRPr="000D45E5" w:rsidRDefault="005F6A86" w:rsidP="005F6A86">
      <w:pPr>
        <w:widowControl w:val="0"/>
        <w:rPr>
          <w:color w:val="000000"/>
          <w:szCs w:val="18"/>
        </w:rPr>
      </w:pPr>
      <w:r w:rsidRPr="000D45E5">
        <w:rPr>
          <w:color w:val="000000"/>
          <w:szCs w:val="18"/>
        </w:rPr>
        <w:t>A conclusion section must be included and should indicate clearly the advantages, limitations, and possible applications of the paper.  Although a conclusion may review the main points of the paper, do not replicate the abstract as the conclusion. A conclusion might elaborate on the importance of the work or suggest applications and extens</w:t>
      </w:r>
      <w:r>
        <w:rPr>
          <w:color w:val="000000"/>
          <w:szCs w:val="18"/>
        </w:rPr>
        <w:t xml:space="preserve">ions. </w:t>
      </w:r>
    </w:p>
    <w:p w:rsidR="005F6A86" w:rsidRDefault="005F6A86" w:rsidP="005F6A86">
      <w:pPr>
        <w:widowControl w:val="0"/>
        <w:ind w:firstLine="720"/>
        <w:rPr>
          <w:color w:val="000000"/>
          <w:szCs w:val="18"/>
        </w:rPr>
      </w:pPr>
      <w:r>
        <w:rPr>
          <w:color w:val="000000"/>
          <w:szCs w:val="18"/>
        </w:rPr>
        <w:t>Link the conclusion</w:t>
      </w:r>
      <w:r w:rsidRPr="0045593C">
        <w:rPr>
          <w:color w:val="000000"/>
          <w:szCs w:val="18"/>
        </w:rPr>
        <w:t xml:space="preserve"> with the goals of the study </w:t>
      </w:r>
      <w:r>
        <w:rPr>
          <w:color w:val="000000"/>
          <w:szCs w:val="18"/>
        </w:rPr>
        <w:t>but avoid unqualified statement and conclusion</w:t>
      </w:r>
      <w:r w:rsidRPr="0045593C">
        <w:rPr>
          <w:color w:val="000000"/>
          <w:szCs w:val="18"/>
        </w:rPr>
        <w:t xml:space="preserve"> not completely supported by your data. Avoid claiming priority and alluding to work that has not been completed. Please state new hypothesis when warranted, and clearly lab</w:t>
      </w:r>
      <w:r>
        <w:rPr>
          <w:color w:val="000000"/>
          <w:szCs w:val="18"/>
        </w:rPr>
        <w:t>el them as such. Recommendation</w:t>
      </w:r>
      <w:r w:rsidRPr="0045593C">
        <w:rPr>
          <w:color w:val="000000"/>
          <w:szCs w:val="18"/>
        </w:rPr>
        <w:t>, when appropriate, may be included.</w:t>
      </w:r>
    </w:p>
    <w:p w:rsidR="005F6A86" w:rsidRPr="00953F44" w:rsidRDefault="005F6A86" w:rsidP="005F6A86">
      <w:pPr>
        <w:pStyle w:val="Heading1"/>
        <w:jc w:val="center"/>
        <w:rPr>
          <w:color w:val="0070C0"/>
        </w:rPr>
      </w:pPr>
      <w:r>
        <w:rPr>
          <w:color w:val="0070C0"/>
        </w:rPr>
        <w:t>ACKNOWLEDGEMENT</w:t>
      </w:r>
      <w:r w:rsidRPr="00953F44">
        <w:rPr>
          <w:color w:val="0070C0"/>
        </w:rPr>
        <w:t xml:space="preserve"> (11 BOLD)</w:t>
      </w:r>
    </w:p>
    <w:p w:rsidR="005F6A86" w:rsidRPr="00C94DFD" w:rsidRDefault="005F6A86" w:rsidP="005F6A86">
      <w:pPr>
        <w:adjustRightInd w:val="0"/>
        <w:jc w:val="center"/>
        <w:rPr>
          <w:iCs/>
          <w:color w:val="000000"/>
          <w:sz w:val="18"/>
        </w:rPr>
      </w:pPr>
      <w:r>
        <w:rPr>
          <w:iCs/>
          <w:color w:val="000000"/>
          <w:sz w:val="18"/>
        </w:rPr>
        <w:t>(</w:t>
      </w:r>
      <w:r w:rsidRPr="00C94DFD">
        <w:rPr>
          <w:iCs/>
          <w:color w:val="000000"/>
          <w:sz w:val="18"/>
        </w:rPr>
        <w:t xml:space="preserve">This heading </w:t>
      </w:r>
      <w:r>
        <w:rPr>
          <w:iCs/>
          <w:color w:val="000000"/>
          <w:sz w:val="18"/>
        </w:rPr>
        <w:t xml:space="preserve">should be aligned center and </w:t>
      </w:r>
      <w:r w:rsidRPr="00C94DFD">
        <w:rPr>
          <w:iCs/>
          <w:color w:val="000000"/>
          <w:sz w:val="18"/>
        </w:rPr>
        <w:t>is not assigned a number.</w:t>
      </w:r>
      <w:r>
        <w:rPr>
          <w:iCs/>
          <w:color w:val="000000"/>
          <w:sz w:val="18"/>
        </w:rPr>
        <w:t>)</w:t>
      </w:r>
    </w:p>
    <w:p w:rsidR="005F6A86" w:rsidRPr="000D45E5" w:rsidRDefault="005F6A86" w:rsidP="005F6A86">
      <w:pPr>
        <w:adjustRightInd w:val="0"/>
        <w:jc w:val="center"/>
        <w:rPr>
          <w:color w:val="000000"/>
          <w:sz w:val="18"/>
        </w:rPr>
      </w:pPr>
      <w:r w:rsidRPr="000D45E5">
        <w:rPr>
          <w:color w:val="000000"/>
          <w:sz w:val="18"/>
        </w:rPr>
        <w:t xml:space="preserve">An acknowledgement section may be presented after the conclusion, if desired. </w:t>
      </w:r>
      <w:r w:rsidRPr="005749DF">
        <w:rPr>
          <w:color w:val="000000"/>
          <w:sz w:val="18"/>
        </w:rPr>
        <w:t xml:space="preserve">Acknowledge grants awarded in aid of the study (state the number of the grant, name and location of the institution or </w:t>
      </w:r>
      <w:proofErr w:type="spellStart"/>
      <w:r w:rsidRPr="005749DF">
        <w:rPr>
          <w:color w:val="000000"/>
          <w:sz w:val="18"/>
        </w:rPr>
        <w:t>organisation</w:t>
      </w:r>
      <w:proofErr w:type="spellEnd"/>
      <w:r w:rsidRPr="005749DF">
        <w:rPr>
          <w:color w:val="000000"/>
          <w:sz w:val="18"/>
        </w:rPr>
        <w:t xml:space="preserve">), as well as persons who have contributed significantly to the study. Authors are responsible for obtaining written permission from everyone acknowledged by name, as readers may infer their endorsement of the data. </w:t>
      </w:r>
      <w:r w:rsidRPr="000D45E5">
        <w:rPr>
          <w:color w:val="000000"/>
          <w:sz w:val="18"/>
        </w:rPr>
        <w:t>(9)</w:t>
      </w:r>
    </w:p>
    <w:p w:rsidR="005F6A86" w:rsidRPr="00953F44" w:rsidRDefault="005F6A86" w:rsidP="005F6A86">
      <w:pPr>
        <w:pStyle w:val="Heading1"/>
        <w:jc w:val="center"/>
        <w:rPr>
          <w:color w:val="0070C0"/>
        </w:rPr>
      </w:pPr>
      <w:r w:rsidRPr="00953F44">
        <w:rPr>
          <w:color w:val="0070C0"/>
        </w:rPr>
        <w:t>REFERENCES (11 BOLD)</w:t>
      </w:r>
    </w:p>
    <w:p w:rsidR="005F6A86" w:rsidRPr="00C94DFD" w:rsidRDefault="005F6A86" w:rsidP="005F6A86">
      <w:pPr>
        <w:adjustRightInd w:val="0"/>
        <w:jc w:val="center"/>
        <w:rPr>
          <w:iCs/>
          <w:color w:val="000000"/>
          <w:sz w:val="18"/>
        </w:rPr>
      </w:pPr>
      <w:r>
        <w:rPr>
          <w:iCs/>
          <w:color w:val="000000"/>
          <w:sz w:val="18"/>
        </w:rPr>
        <w:t>(</w:t>
      </w:r>
      <w:r w:rsidRPr="00C94DFD">
        <w:rPr>
          <w:iCs/>
          <w:color w:val="000000"/>
          <w:sz w:val="18"/>
        </w:rPr>
        <w:t>This heading is not assigned a number.</w:t>
      </w:r>
      <w:r>
        <w:rPr>
          <w:iCs/>
          <w:color w:val="000000"/>
          <w:sz w:val="18"/>
        </w:rPr>
        <w:t xml:space="preserve">) </w:t>
      </w:r>
    </w:p>
    <w:p w:rsidR="005F6A86" w:rsidRPr="000D45E5" w:rsidRDefault="005F6A86" w:rsidP="005F6A86">
      <w:pPr>
        <w:adjustRightInd w:val="0"/>
        <w:rPr>
          <w:color w:val="000000"/>
        </w:rPr>
      </w:pPr>
    </w:p>
    <w:p w:rsidR="005F6A86" w:rsidRPr="000D45E5" w:rsidRDefault="005F6A86" w:rsidP="005F6A86">
      <w:pPr>
        <w:adjustRightInd w:val="0"/>
        <w:rPr>
          <w:rFonts w:eastAsia="Calibri"/>
          <w:color w:val="000000"/>
          <w:sz w:val="18"/>
          <w:szCs w:val="18"/>
          <w:lang w:val="en-MY"/>
        </w:rPr>
      </w:pPr>
      <w:r w:rsidRPr="000D45E5">
        <w:rPr>
          <w:rFonts w:eastAsia="Calibri"/>
          <w:color w:val="000000"/>
          <w:sz w:val="18"/>
          <w:szCs w:val="18"/>
          <w:lang w:val="en-MY"/>
        </w:rPr>
        <w:t>All references must be formatted in accordance with the Publication Manual of the American Psychological Association (APA), Latest Edition.</w:t>
      </w:r>
    </w:p>
    <w:p w:rsidR="005F6A86" w:rsidRPr="000D45E5" w:rsidRDefault="005F6A86" w:rsidP="005F6A86">
      <w:pPr>
        <w:adjustRightInd w:val="0"/>
        <w:rPr>
          <w:rFonts w:eastAsia="Calibri"/>
          <w:color w:val="000000"/>
          <w:sz w:val="18"/>
          <w:szCs w:val="18"/>
          <w:lang w:val="en-MY"/>
        </w:rPr>
      </w:pPr>
      <w:r w:rsidRPr="000D45E5">
        <w:rPr>
          <w:rFonts w:eastAsia="Calibri"/>
          <w:color w:val="000000"/>
          <w:sz w:val="18"/>
          <w:szCs w:val="18"/>
          <w:lang w:val="en-MY"/>
        </w:rPr>
        <w:t>For example:</w:t>
      </w: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Book: </w:t>
      </w: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Strunk, W., Jr., &amp; White, E. B. (1979). </w:t>
      </w:r>
      <w:r w:rsidRPr="000D45E5">
        <w:rPr>
          <w:i/>
          <w:iCs/>
          <w:color w:val="000000"/>
          <w:sz w:val="18"/>
          <w:szCs w:val="18"/>
          <w:lang w:val="en-MY" w:eastAsia="en-MY"/>
        </w:rPr>
        <w:t xml:space="preserve">The guide to everything and then some more stuff. </w:t>
      </w:r>
      <w:r w:rsidRPr="000D45E5">
        <w:rPr>
          <w:color w:val="000000"/>
          <w:sz w:val="18"/>
          <w:szCs w:val="18"/>
          <w:lang w:val="en-MY" w:eastAsia="en-MY"/>
        </w:rPr>
        <w:t xml:space="preserve">New York, NY: Macmillan. </w:t>
      </w: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Gregory, G., &amp; Parry, T. (2006). </w:t>
      </w:r>
      <w:r w:rsidRPr="000D45E5">
        <w:rPr>
          <w:i/>
          <w:iCs/>
          <w:color w:val="000000"/>
          <w:sz w:val="18"/>
          <w:szCs w:val="18"/>
          <w:lang w:val="en-MY" w:eastAsia="en-MY"/>
        </w:rPr>
        <w:t xml:space="preserve">Designing brain-compatible learning </w:t>
      </w:r>
      <w:r w:rsidRPr="000D45E5">
        <w:rPr>
          <w:color w:val="000000"/>
          <w:sz w:val="18"/>
          <w:szCs w:val="18"/>
          <w:lang w:val="en-MY" w:eastAsia="en-MY"/>
        </w:rPr>
        <w:t xml:space="preserve">(3rd ed.). Thousand Oaks, CA: Corwin.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Chapter of a Book: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proofErr w:type="spellStart"/>
      <w:r w:rsidRPr="000D45E5">
        <w:rPr>
          <w:color w:val="000000"/>
          <w:sz w:val="18"/>
          <w:szCs w:val="18"/>
          <w:lang w:val="en-MY" w:eastAsia="en-MY"/>
        </w:rPr>
        <w:t>Bergquist</w:t>
      </w:r>
      <w:proofErr w:type="spellEnd"/>
      <w:r w:rsidRPr="000D45E5">
        <w:rPr>
          <w:color w:val="000000"/>
          <w:sz w:val="18"/>
          <w:szCs w:val="18"/>
          <w:lang w:val="en-MY" w:eastAsia="en-MY"/>
        </w:rPr>
        <w:t xml:space="preserve">, J. M. (1992). German Americans. In J. D. </w:t>
      </w:r>
      <w:proofErr w:type="spellStart"/>
      <w:r w:rsidRPr="000D45E5">
        <w:rPr>
          <w:color w:val="000000"/>
          <w:sz w:val="18"/>
          <w:szCs w:val="18"/>
          <w:lang w:val="en-MY" w:eastAsia="en-MY"/>
        </w:rPr>
        <w:t>Buenker</w:t>
      </w:r>
      <w:proofErr w:type="spellEnd"/>
      <w:r w:rsidRPr="000D45E5">
        <w:rPr>
          <w:color w:val="000000"/>
          <w:sz w:val="18"/>
          <w:szCs w:val="18"/>
          <w:lang w:val="en-MY" w:eastAsia="en-MY"/>
        </w:rPr>
        <w:t xml:space="preserve"> &amp; L. A. Ratner (Eds.), </w:t>
      </w:r>
      <w:r w:rsidRPr="000D45E5">
        <w:rPr>
          <w:i/>
          <w:iCs/>
          <w:color w:val="000000"/>
          <w:sz w:val="18"/>
          <w:szCs w:val="18"/>
          <w:lang w:val="en-MY" w:eastAsia="en-MY"/>
        </w:rPr>
        <w:t xml:space="preserve">Multiculturalism in the United States: A comparative guide to acculturation and ethnicity </w:t>
      </w:r>
      <w:r w:rsidRPr="000D45E5">
        <w:rPr>
          <w:color w:val="000000"/>
          <w:sz w:val="18"/>
          <w:szCs w:val="18"/>
          <w:lang w:val="en-MY" w:eastAsia="en-MY"/>
        </w:rPr>
        <w:t xml:space="preserve">(pp. 53-76). New York, NY: Greenwood.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Journal Article with DOI: </w:t>
      </w:r>
    </w:p>
    <w:p w:rsidR="005F6A86" w:rsidRPr="000D45E5" w:rsidRDefault="005F6A86" w:rsidP="005F6A86">
      <w:pPr>
        <w:autoSpaceDE w:val="0"/>
        <w:autoSpaceDN w:val="0"/>
        <w:adjustRightInd w:val="0"/>
        <w:spacing w:after="0"/>
        <w:jc w:val="left"/>
        <w:rPr>
          <w:color w:val="000000"/>
          <w:sz w:val="18"/>
          <w:szCs w:val="18"/>
          <w:lang w:val="en-MY" w:eastAsia="en-MY"/>
        </w:rPr>
      </w:pPr>
      <w:proofErr w:type="spellStart"/>
      <w:r w:rsidRPr="000D45E5">
        <w:rPr>
          <w:color w:val="000000"/>
          <w:sz w:val="18"/>
          <w:szCs w:val="18"/>
          <w:lang w:val="en-MY" w:eastAsia="en-MY"/>
        </w:rPr>
        <w:t>Paivio</w:t>
      </w:r>
      <w:proofErr w:type="spellEnd"/>
      <w:r w:rsidRPr="000D45E5">
        <w:rPr>
          <w:color w:val="000000"/>
          <w:sz w:val="18"/>
          <w:szCs w:val="18"/>
          <w:lang w:val="en-MY" w:eastAsia="en-MY"/>
        </w:rPr>
        <w:t xml:space="preserve">, A. (1975). Perceptual comparisons through the mind's eye. </w:t>
      </w:r>
      <w:r w:rsidRPr="000D45E5">
        <w:rPr>
          <w:i/>
          <w:iCs/>
          <w:color w:val="000000"/>
          <w:sz w:val="18"/>
          <w:szCs w:val="18"/>
          <w:lang w:val="en-MY" w:eastAsia="en-MY"/>
        </w:rPr>
        <w:t>Memory &amp; Cognition</w:t>
      </w:r>
      <w:r w:rsidRPr="000D45E5">
        <w:rPr>
          <w:color w:val="000000"/>
          <w:sz w:val="18"/>
          <w:szCs w:val="18"/>
          <w:lang w:val="en-MY" w:eastAsia="en-MY"/>
        </w:rPr>
        <w:t xml:space="preserve">, </w:t>
      </w:r>
      <w:r w:rsidRPr="000D45E5">
        <w:rPr>
          <w:i/>
          <w:iCs/>
          <w:color w:val="000000"/>
          <w:sz w:val="18"/>
          <w:szCs w:val="18"/>
          <w:lang w:val="en-MY" w:eastAsia="en-MY"/>
        </w:rPr>
        <w:t>3</w:t>
      </w:r>
      <w:r w:rsidRPr="000D45E5">
        <w:rPr>
          <w:color w:val="000000"/>
          <w:sz w:val="18"/>
          <w:szCs w:val="18"/>
          <w:lang w:val="en-MY" w:eastAsia="en-MY"/>
        </w:rPr>
        <w:t xml:space="preserve">, 635-647. doi:10.1037/0278-6133.24.2.225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Journal Article without DOI (when DOI is not available):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r w:rsidRPr="000D45E5">
        <w:rPr>
          <w:color w:val="000000"/>
          <w:sz w:val="18"/>
          <w:szCs w:val="18"/>
          <w:lang w:val="en-MY" w:eastAsia="en-MY"/>
        </w:rPr>
        <w:t xml:space="preserve">Becker, L. J., &amp; Seligman, C. (1981). Welcome to the energy crisis. </w:t>
      </w:r>
      <w:r w:rsidRPr="000D45E5">
        <w:rPr>
          <w:i/>
          <w:iCs/>
          <w:color w:val="000000"/>
          <w:sz w:val="18"/>
          <w:szCs w:val="18"/>
          <w:lang w:val="en-MY" w:eastAsia="en-MY"/>
        </w:rPr>
        <w:t>Journal of Social Issues</w:t>
      </w:r>
      <w:r w:rsidRPr="000D45E5">
        <w:rPr>
          <w:color w:val="000000"/>
          <w:sz w:val="18"/>
          <w:szCs w:val="18"/>
          <w:lang w:val="en-MY" w:eastAsia="en-MY"/>
        </w:rPr>
        <w:t xml:space="preserve">, </w:t>
      </w:r>
      <w:r w:rsidRPr="000D45E5">
        <w:rPr>
          <w:i/>
          <w:iCs/>
          <w:color w:val="000000"/>
          <w:sz w:val="18"/>
          <w:szCs w:val="18"/>
          <w:lang w:val="en-MY" w:eastAsia="en-MY"/>
        </w:rPr>
        <w:t>37</w:t>
      </w:r>
      <w:r w:rsidRPr="000D45E5">
        <w:rPr>
          <w:color w:val="000000"/>
          <w:sz w:val="18"/>
          <w:szCs w:val="18"/>
          <w:lang w:val="en-MY" w:eastAsia="en-MY"/>
        </w:rPr>
        <w:t xml:space="preserve">(2), 1-7.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proofErr w:type="spellStart"/>
      <w:r w:rsidRPr="000D45E5">
        <w:rPr>
          <w:color w:val="000000"/>
          <w:sz w:val="18"/>
          <w:szCs w:val="18"/>
          <w:lang w:val="en-MY" w:eastAsia="en-MY"/>
        </w:rPr>
        <w:t>Hamfi</w:t>
      </w:r>
      <w:proofErr w:type="spellEnd"/>
      <w:r w:rsidRPr="000D45E5">
        <w:rPr>
          <w:color w:val="000000"/>
          <w:sz w:val="18"/>
          <w:szCs w:val="18"/>
          <w:lang w:val="en-MY" w:eastAsia="en-MY"/>
        </w:rPr>
        <w:t xml:space="preserve">, A. G. (1981). The funny nature of dogs. </w:t>
      </w:r>
      <w:r w:rsidRPr="000D45E5">
        <w:rPr>
          <w:i/>
          <w:iCs/>
          <w:color w:val="000000"/>
          <w:sz w:val="18"/>
          <w:szCs w:val="18"/>
          <w:lang w:val="en-MY" w:eastAsia="en-MY"/>
        </w:rPr>
        <w:t>E-journal of Applied Psychology, 2</w:t>
      </w:r>
      <w:r w:rsidRPr="000D45E5">
        <w:rPr>
          <w:color w:val="000000"/>
          <w:sz w:val="18"/>
          <w:szCs w:val="18"/>
          <w:lang w:val="en-MY" w:eastAsia="en-MY"/>
        </w:rPr>
        <w:t xml:space="preserve">(2), 38 -48. Retrieved from </w:t>
      </w:r>
      <w:hyperlink r:id="rId8" w:history="1">
        <w:r w:rsidRPr="000D45E5">
          <w:rPr>
            <w:rStyle w:val="Hyperlink"/>
            <w:color w:val="000000"/>
            <w:sz w:val="18"/>
            <w:szCs w:val="18"/>
            <w:lang w:val="en-MY" w:eastAsia="en-MY"/>
          </w:rPr>
          <w:t>http://ojs.lib.swin.edu.au/index.php/fdo</w:t>
        </w:r>
      </w:hyperlink>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Online Newspaper Articles: </w:t>
      </w: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Becker, E. (2001, August 27). Prairie farmers reap conservation's rewards. </w:t>
      </w:r>
      <w:r w:rsidRPr="000D45E5">
        <w:rPr>
          <w:i/>
          <w:iCs/>
          <w:color w:val="000000"/>
          <w:sz w:val="18"/>
          <w:szCs w:val="18"/>
          <w:lang w:val="en-MY" w:eastAsia="en-MY"/>
        </w:rPr>
        <w:t>The New York Times</w:t>
      </w:r>
      <w:r w:rsidRPr="000D45E5">
        <w:rPr>
          <w:color w:val="000000"/>
          <w:sz w:val="18"/>
          <w:szCs w:val="18"/>
          <w:lang w:val="en-MY" w:eastAsia="en-MY"/>
        </w:rPr>
        <w:t xml:space="preserve">. Retrieved from </w:t>
      </w:r>
      <w:hyperlink r:id="rId9" w:history="1">
        <w:r w:rsidRPr="000D45E5">
          <w:rPr>
            <w:rStyle w:val="Hyperlink"/>
            <w:color w:val="000000"/>
            <w:sz w:val="18"/>
            <w:szCs w:val="18"/>
            <w:lang w:val="en-MY" w:eastAsia="en-MY"/>
          </w:rPr>
          <w:t>http://www.nytimes.com</w:t>
        </w:r>
      </w:hyperlink>
      <w:r w:rsidRPr="000D45E5">
        <w:rPr>
          <w:color w:val="000000"/>
          <w:sz w:val="18"/>
          <w:szCs w:val="18"/>
          <w:lang w:val="en-MY" w:eastAsia="en-MY"/>
        </w:rPr>
        <w:t xml:space="preserve">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proofErr w:type="spellStart"/>
      <w:r w:rsidRPr="000D45E5">
        <w:rPr>
          <w:b/>
          <w:bCs/>
          <w:color w:val="000000"/>
          <w:sz w:val="18"/>
          <w:szCs w:val="18"/>
          <w:lang w:val="en-MY" w:eastAsia="en-MY"/>
        </w:rPr>
        <w:t>Encyclopedia</w:t>
      </w:r>
      <w:proofErr w:type="spellEnd"/>
      <w:r w:rsidRPr="000D45E5">
        <w:rPr>
          <w:b/>
          <w:bCs/>
          <w:color w:val="000000"/>
          <w:sz w:val="18"/>
          <w:szCs w:val="18"/>
          <w:lang w:val="en-MY" w:eastAsia="en-MY"/>
        </w:rPr>
        <w:t xml:space="preserve"> Articles: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proofErr w:type="spellStart"/>
      <w:r w:rsidRPr="000D45E5">
        <w:rPr>
          <w:color w:val="000000"/>
          <w:sz w:val="18"/>
          <w:szCs w:val="18"/>
          <w:lang w:val="en-MY" w:eastAsia="en-MY"/>
        </w:rPr>
        <w:t>Brislin</w:t>
      </w:r>
      <w:proofErr w:type="spellEnd"/>
      <w:r w:rsidRPr="000D45E5">
        <w:rPr>
          <w:color w:val="000000"/>
          <w:sz w:val="18"/>
          <w:szCs w:val="18"/>
          <w:lang w:val="en-MY" w:eastAsia="en-MY"/>
        </w:rPr>
        <w:t xml:space="preserve">, R. W. (1984). Cross-cultural psychology. In R. J. </w:t>
      </w:r>
      <w:proofErr w:type="spellStart"/>
      <w:r w:rsidRPr="000D45E5">
        <w:rPr>
          <w:color w:val="000000"/>
          <w:sz w:val="18"/>
          <w:szCs w:val="18"/>
          <w:lang w:val="en-MY" w:eastAsia="en-MY"/>
        </w:rPr>
        <w:t>Corsini</w:t>
      </w:r>
      <w:proofErr w:type="spellEnd"/>
      <w:r w:rsidRPr="000D45E5">
        <w:rPr>
          <w:color w:val="000000"/>
          <w:sz w:val="18"/>
          <w:szCs w:val="18"/>
          <w:lang w:val="en-MY" w:eastAsia="en-MY"/>
        </w:rPr>
        <w:t xml:space="preserve"> (Ed.), </w:t>
      </w:r>
      <w:proofErr w:type="spellStart"/>
      <w:r w:rsidRPr="000D45E5">
        <w:rPr>
          <w:i/>
          <w:iCs/>
          <w:color w:val="000000"/>
          <w:sz w:val="18"/>
          <w:szCs w:val="18"/>
          <w:lang w:val="en-MY" w:eastAsia="en-MY"/>
        </w:rPr>
        <w:t>Encyclopedia</w:t>
      </w:r>
      <w:proofErr w:type="spellEnd"/>
      <w:r w:rsidRPr="000D45E5">
        <w:rPr>
          <w:i/>
          <w:iCs/>
          <w:color w:val="000000"/>
          <w:sz w:val="18"/>
          <w:szCs w:val="18"/>
          <w:lang w:val="en-MY" w:eastAsia="en-MY"/>
        </w:rPr>
        <w:t xml:space="preserve"> of psychology </w:t>
      </w:r>
      <w:r w:rsidRPr="000D45E5">
        <w:rPr>
          <w:color w:val="000000"/>
          <w:sz w:val="18"/>
          <w:szCs w:val="18"/>
          <w:lang w:val="en-MY" w:eastAsia="en-MY"/>
        </w:rPr>
        <w:t xml:space="preserve">(Vol. 1, pp. 319-327). New York, NY: Wiley.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r w:rsidRPr="000D45E5">
        <w:rPr>
          <w:color w:val="000000"/>
          <w:sz w:val="18"/>
          <w:szCs w:val="18"/>
          <w:lang w:val="en-MY" w:eastAsia="en-MY"/>
        </w:rPr>
        <w:t xml:space="preserve">Developmental genetics. (2005). In </w:t>
      </w:r>
      <w:r w:rsidRPr="000D45E5">
        <w:rPr>
          <w:i/>
          <w:iCs/>
          <w:color w:val="000000"/>
          <w:sz w:val="18"/>
          <w:szCs w:val="18"/>
          <w:lang w:val="en-MY" w:eastAsia="en-MY"/>
        </w:rPr>
        <w:t xml:space="preserve">Cambridge </w:t>
      </w:r>
      <w:proofErr w:type="spellStart"/>
      <w:r w:rsidRPr="000D45E5">
        <w:rPr>
          <w:i/>
          <w:iCs/>
          <w:color w:val="000000"/>
          <w:sz w:val="18"/>
          <w:szCs w:val="18"/>
          <w:lang w:val="en-MY" w:eastAsia="en-MY"/>
        </w:rPr>
        <w:t>encyclopedia</w:t>
      </w:r>
      <w:proofErr w:type="spellEnd"/>
      <w:r w:rsidRPr="000D45E5">
        <w:rPr>
          <w:i/>
          <w:iCs/>
          <w:color w:val="000000"/>
          <w:sz w:val="18"/>
          <w:szCs w:val="18"/>
          <w:lang w:val="en-MY" w:eastAsia="en-MY"/>
        </w:rPr>
        <w:t xml:space="preserve"> of child development</w:t>
      </w:r>
      <w:r w:rsidRPr="000D45E5">
        <w:rPr>
          <w:color w:val="000000"/>
          <w:sz w:val="18"/>
          <w:szCs w:val="18"/>
          <w:lang w:val="en-MY" w:eastAsia="en-MY"/>
        </w:rPr>
        <w:t xml:space="preserve">. Retrieved from http://0-www.credoreference.com.library.muhlenberg.edu:80/entry/cupchilddev/developmental_genetics </w:t>
      </w:r>
    </w:p>
    <w:p w:rsidR="005F6A86" w:rsidRDefault="005F6A86" w:rsidP="005F6A86">
      <w:pPr>
        <w:autoSpaceDE w:val="0"/>
        <w:autoSpaceDN w:val="0"/>
        <w:adjustRightInd w:val="0"/>
        <w:spacing w:after="0"/>
        <w:jc w:val="left"/>
        <w:rPr>
          <w:b/>
          <w:bCs/>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Technical and Research Reports (often with corporate authors) </w:t>
      </w:r>
    </w:p>
    <w:p w:rsidR="005F6A86" w:rsidRPr="000D45E5" w:rsidRDefault="005F6A86" w:rsidP="005F6A86">
      <w:pPr>
        <w:autoSpaceDE w:val="0"/>
        <w:autoSpaceDN w:val="0"/>
        <w:adjustRightInd w:val="0"/>
        <w:spacing w:after="0"/>
        <w:ind w:left="851" w:hanging="851"/>
        <w:jc w:val="left"/>
        <w:rPr>
          <w:color w:val="000000"/>
          <w:sz w:val="18"/>
          <w:szCs w:val="18"/>
          <w:u w:val="single"/>
          <w:lang w:val="en-MY" w:eastAsia="en-MY"/>
        </w:rPr>
      </w:pPr>
      <w:r w:rsidRPr="000D45E5">
        <w:rPr>
          <w:color w:val="000000"/>
          <w:sz w:val="18"/>
          <w:szCs w:val="18"/>
          <w:lang w:val="en-MY" w:eastAsia="en-MY"/>
        </w:rPr>
        <w:t xml:space="preserve">Hershey Foods Corporation. (2001, March 15). </w:t>
      </w:r>
      <w:r w:rsidRPr="000D45E5">
        <w:rPr>
          <w:i/>
          <w:iCs/>
          <w:color w:val="000000"/>
          <w:sz w:val="18"/>
          <w:szCs w:val="18"/>
          <w:lang w:val="en-MY" w:eastAsia="en-MY"/>
        </w:rPr>
        <w:t xml:space="preserve">2001 Annual Report. </w:t>
      </w:r>
      <w:r w:rsidRPr="000D45E5">
        <w:rPr>
          <w:color w:val="000000"/>
          <w:sz w:val="18"/>
          <w:szCs w:val="18"/>
          <w:lang w:val="en-MY" w:eastAsia="en-MY"/>
        </w:rPr>
        <w:t xml:space="preserve">Retrieved from </w:t>
      </w:r>
      <w:r w:rsidRPr="000D45E5">
        <w:rPr>
          <w:color w:val="000000"/>
          <w:sz w:val="18"/>
          <w:szCs w:val="18"/>
          <w:u w:val="single"/>
          <w:lang w:val="en-MY" w:eastAsia="en-MY"/>
        </w:rPr>
        <w:t xml:space="preserve">http://www.hersheysannualreport.com/2000/index.htm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Book Reviews: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r w:rsidRPr="000D45E5">
        <w:rPr>
          <w:color w:val="000000"/>
          <w:sz w:val="18"/>
          <w:szCs w:val="18"/>
          <w:lang w:val="en-MY" w:eastAsia="en-MY"/>
        </w:rPr>
        <w:t xml:space="preserve">Dent-Read, C., &amp; </w:t>
      </w:r>
      <w:proofErr w:type="spellStart"/>
      <w:r w:rsidRPr="000D45E5">
        <w:rPr>
          <w:color w:val="000000"/>
          <w:sz w:val="18"/>
          <w:szCs w:val="18"/>
          <w:lang w:val="en-MY" w:eastAsia="en-MY"/>
        </w:rPr>
        <w:t>Zukow-Goldring</w:t>
      </w:r>
      <w:proofErr w:type="spellEnd"/>
      <w:r w:rsidRPr="000D45E5">
        <w:rPr>
          <w:color w:val="000000"/>
          <w:sz w:val="18"/>
          <w:szCs w:val="18"/>
          <w:lang w:val="en-MY" w:eastAsia="en-MY"/>
        </w:rPr>
        <w:t xml:space="preserve">, P. (2001). Is </w:t>
      </w:r>
      <w:proofErr w:type="spellStart"/>
      <w:r w:rsidRPr="000D45E5">
        <w:rPr>
          <w:color w:val="000000"/>
          <w:sz w:val="18"/>
          <w:szCs w:val="18"/>
          <w:lang w:val="en-MY" w:eastAsia="en-MY"/>
        </w:rPr>
        <w:t>modeling</w:t>
      </w:r>
      <w:proofErr w:type="spellEnd"/>
      <w:r w:rsidRPr="000D45E5">
        <w:rPr>
          <w:color w:val="000000"/>
          <w:sz w:val="18"/>
          <w:szCs w:val="18"/>
          <w:lang w:val="en-MY" w:eastAsia="en-MY"/>
        </w:rPr>
        <w:t xml:space="preserve"> knowing? [Review of the book </w:t>
      </w:r>
      <w:r w:rsidRPr="000D45E5">
        <w:rPr>
          <w:i/>
          <w:iCs/>
          <w:color w:val="000000"/>
          <w:sz w:val="18"/>
          <w:szCs w:val="18"/>
          <w:lang w:val="en-MY" w:eastAsia="en-MY"/>
        </w:rPr>
        <w:t xml:space="preserve">Models of cognitive development, </w:t>
      </w:r>
      <w:r w:rsidRPr="000D45E5">
        <w:rPr>
          <w:color w:val="000000"/>
          <w:sz w:val="18"/>
          <w:szCs w:val="18"/>
          <w:lang w:val="en-MY" w:eastAsia="en-MY"/>
        </w:rPr>
        <w:t xml:space="preserve">by K. Richardson]. </w:t>
      </w:r>
      <w:r w:rsidRPr="000D45E5">
        <w:rPr>
          <w:i/>
          <w:iCs/>
          <w:color w:val="000000"/>
          <w:sz w:val="18"/>
          <w:szCs w:val="18"/>
          <w:lang w:val="en-MY" w:eastAsia="en-MY"/>
        </w:rPr>
        <w:t>American Journal of Psychology</w:t>
      </w:r>
      <w:r w:rsidRPr="000D45E5">
        <w:rPr>
          <w:color w:val="000000"/>
          <w:sz w:val="18"/>
          <w:szCs w:val="18"/>
          <w:lang w:val="en-MY" w:eastAsia="en-MY"/>
        </w:rPr>
        <w:t xml:space="preserve">, </w:t>
      </w:r>
      <w:r w:rsidRPr="000D45E5">
        <w:rPr>
          <w:i/>
          <w:iCs/>
          <w:color w:val="000000"/>
          <w:sz w:val="18"/>
          <w:szCs w:val="18"/>
          <w:lang w:val="en-MY" w:eastAsia="en-MY"/>
        </w:rPr>
        <w:t>114</w:t>
      </w:r>
      <w:r w:rsidRPr="000D45E5">
        <w:rPr>
          <w:color w:val="000000"/>
          <w:sz w:val="18"/>
          <w:szCs w:val="18"/>
          <w:lang w:val="en-MY" w:eastAsia="en-MY"/>
        </w:rPr>
        <w:t xml:space="preserve">, 126-133. </w:t>
      </w:r>
    </w:p>
    <w:p w:rsidR="005F6A86" w:rsidRPr="000D45E5" w:rsidRDefault="005F6A86" w:rsidP="005F6A86">
      <w:pPr>
        <w:autoSpaceDE w:val="0"/>
        <w:autoSpaceDN w:val="0"/>
        <w:adjustRightInd w:val="0"/>
        <w:spacing w:after="0"/>
        <w:jc w:val="left"/>
        <w:rPr>
          <w:i/>
          <w:iCs/>
          <w:color w:val="000000"/>
          <w:sz w:val="18"/>
          <w:szCs w:val="18"/>
          <w:lang w:val="en-MY" w:eastAsia="en-MY"/>
        </w:rPr>
      </w:pPr>
      <w:r w:rsidRPr="000D45E5">
        <w:rPr>
          <w:i/>
          <w:iCs/>
          <w:color w:val="000000"/>
          <w:sz w:val="18"/>
          <w:szCs w:val="18"/>
          <w:lang w:val="en-MY" w:eastAsia="en-MY"/>
        </w:rPr>
        <w:t xml:space="preserve">NOTE: For articles that have a DOI, see Journal Article with DOI example.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Data Sets: </w:t>
      </w: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Simmons Market Research Bureau. (2000). </w:t>
      </w:r>
      <w:r w:rsidRPr="000D45E5">
        <w:rPr>
          <w:i/>
          <w:iCs/>
          <w:color w:val="000000"/>
          <w:sz w:val="18"/>
          <w:szCs w:val="18"/>
          <w:lang w:val="en-MY" w:eastAsia="en-MY"/>
        </w:rPr>
        <w:t xml:space="preserve">Simmons national consumer survey </w:t>
      </w:r>
      <w:r w:rsidRPr="000D45E5">
        <w:rPr>
          <w:color w:val="000000"/>
          <w:sz w:val="18"/>
          <w:szCs w:val="18"/>
          <w:lang w:val="en-MY" w:eastAsia="en-MY"/>
        </w:rPr>
        <w:t xml:space="preserve">[Data file]. New York, NY: Author.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Blog post: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r w:rsidRPr="000D45E5">
        <w:rPr>
          <w:color w:val="000000"/>
          <w:sz w:val="18"/>
          <w:szCs w:val="18"/>
          <w:lang w:val="en-MY" w:eastAsia="en-MY"/>
        </w:rPr>
        <w:t xml:space="preserve">Lincoln, D. S. (2009, January 23). The likeness and sameness of the ones in the middle. [Web log post]. Retrieved from http://www.blogspace.com/lincolnworld/2009/1/23.php </w:t>
      </w:r>
    </w:p>
    <w:p w:rsidR="005F6A86" w:rsidRPr="000D45E5"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Website with no author or date of publication: </w:t>
      </w:r>
    </w:p>
    <w:p w:rsidR="005F6A86" w:rsidRPr="000D45E5" w:rsidRDefault="005F6A86" w:rsidP="005F6A86">
      <w:pPr>
        <w:autoSpaceDE w:val="0"/>
        <w:autoSpaceDN w:val="0"/>
        <w:adjustRightInd w:val="0"/>
        <w:spacing w:after="0"/>
        <w:ind w:left="851" w:hanging="851"/>
        <w:jc w:val="left"/>
        <w:rPr>
          <w:color w:val="000000"/>
          <w:sz w:val="18"/>
          <w:szCs w:val="18"/>
          <w:lang w:val="en-MY" w:eastAsia="en-MY"/>
        </w:rPr>
      </w:pPr>
      <w:r w:rsidRPr="000D45E5">
        <w:rPr>
          <w:i/>
          <w:iCs/>
          <w:color w:val="000000"/>
          <w:sz w:val="18"/>
          <w:szCs w:val="18"/>
          <w:lang w:val="en-MY" w:eastAsia="en-MY"/>
        </w:rPr>
        <w:t xml:space="preserve">Census data revisited. </w:t>
      </w:r>
      <w:r w:rsidRPr="000D45E5">
        <w:rPr>
          <w:color w:val="000000"/>
          <w:sz w:val="18"/>
          <w:szCs w:val="18"/>
          <w:lang w:val="en-MY" w:eastAsia="en-MY"/>
        </w:rPr>
        <w:t>(</w:t>
      </w:r>
      <w:proofErr w:type="spellStart"/>
      <w:r w:rsidRPr="000D45E5">
        <w:rPr>
          <w:color w:val="000000"/>
          <w:sz w:val="18"/>
          <w:szCs w:val="18"/>
          <w:lang w:val="en-MY" w:eastAsia="en-MY"/>
        </w:rPr>
        <w:t>n.d.</w:t>
      </w:r>
      <w:proofErr w:type="spellEnd"/>
      <w:r w:rsidRPr="000D45E5">
        <w:rPr>
          <w:color w:val="000000"/>
          <w:sz w:val="18"/>
          <w:szCs w:val="18"/>
          <w:lang w:val="en-MY" w:eastAsia="en-MY"/>
        </w:rPr>
        <w:t xml:space="preserve">). Retrieved March 9, 2009, from Harvard, Psychology of Population website, http://harvard.edu/data/index.php </w:t>
      </w:r>
    </w:p>
    <w:p w:rsidR="005F6A86" w:rsidRPr="00FF166F" w:rsidRDefault="005F6A86" w:rsidP="005F6A86">
      <w:pPr>
        <w:autoSpaceDE w:val="0"/>
        <w:autoSpaceDN w:val="0"/>
        <w:adjustRightInd w:val="0"/>
        <w:spacing w:after="0"/>
        <w:jc w:val="left"/>
        <w:rPr>
          <w:bCs/>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Do not include retrieval dates unless the source material may change over time</w:t>
      </w:r>
      <w:r w:rsidRPr="000D45E5">
        <w:rPr>
          <w:color w:val="000000"/>
          <w:sz w:val="18"/>
          <w:szCs w:val="18"/>
          <w:lang w:val="en-MY" w:eastAsia="en-MY"/>
        </w:rPr>
        <w:t xml:space="preserve">. If no DOI has been assigned to the content, provide the homepage URL. </w:t>
      </w:r>
    </w:p>
    <w:p w:rsidR="005F6A86" w:rsidRPr="00D9555D" w:rsidRDefault="005F6A86" w:rsidP="005F6A86">
      <w:pPr>
        <w:autoSpaceDE w:val="0"/>
        <w:autoSpaceDN w:val="0"/>
        <w:adjustRightInd w:val="0"/>
        <w:spacing w:after="0"/>
        <w:jc w:val="left"/>
        <w:rPr>
          <w:color w:val="000000"/>
          <w:sz w:val="18"/>
          <w:szCs w:val="18"/>
          <w:lang w:val="en-MY" w:eastAsia="en-MY"/>
        </w:rPr>
      </w:pPr>
    </w:p>
    <w:p w:rsidR="005F6A86" w:rsidRPr="000D45E5" w:rsidRDefault="005F6A86" w:rsidP="005F6A86">
      <w:pPr>
        <w:autoSpaceDE w:val="0"/>
        <w:autoSpaceDN w:val="0"/>
        <w:adjustRightInd w:val="0"/>
        <w:spacing w:after="0"/>
        <w:jc w:val="left"/>
        <w:rPr>
          <w:color w:val="000000"/>
          <w:sz w:val="18"/>
          <w:szCs w:val="18"/>
          <w:lang w:val="en-MY" w:eastAsia="en-MY"/>
        </w:rPr>
      </w:pPr>
      <w:r w:rsidRPr="000D45E5">
        <w:rPr>
          <w:b/>
          <w:bCs/>
          <w:color w:val="000000"/>
          <w:sz w:val="18"/>
          <w:szCs w:val="18"/>
          <w:lang w:val="en-MY" w:eastAsia="en-MY"/>
        </w:rPr>
        <w:t xml:space="preserve">Reprint from another Source: </w:t>
      </w:r>
    </w:p>
    <w:p w:rsidR="005F6A86" w:rsidRPr="000D45E5" w:rsidRDefault="005F6A86" w:rsidP="005F6A86">
      <w:pPr>
        <w:numPr>
          <w:ilvl w:val="0"/>
          <w:numId w:val="1"/>
        </w:num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Citation in the text: </w:t>
      </w:r>
    </w:p>
    <w:p w:rsidR="005F6A86" w:rsidRPr="000D45E5" w:rsidRDefault="005F6A86" w:rsidP="005F6A86">
      <w:pPr>
        <w:autoSpaceDE w:val="0"/>
        <w:autoSpaceDN w:val="0"/>
        <w:adjustRightInd w:val="0"/>
        <w:spacing w:after="0"/>
        <w:ind w:firstLine="720"/>
        <w:jc w:val="left"/>
        <w:rPr>
          <w:color w:val="000000"/>
          <w:sz w:val="18"/>
          <w:szCs w:val="18"/>
          <w:lang w:val="en-MY" w:eastAsia="en-MY"/>
        </w:rPr>
      </w:pPr>
      <w:r w:rsidRPr="000D45E5">
        <w:rPr>
          <w:color w:val="000000"/>
          <w:sz w:val="18"/>
          <w:szCs w:val="18"/>
          <w:lang w:val="en-MY" w:eastAsia="en-MY"/>
        </w:rPr>
        <w:t xml:space="preserve">(Newton, 1998/1999). </w:t>
      </w:r>
    </w:p>
    <w:p w:rsidR="005F6A86" w:rsidRPr="000D45E5" w:rsidRDefault="005F6A86" w:rsidP="005F6A86">
      <w:pPr>
        <w:numPr>
          <w:ilvl w:val="0"/>
          <w:numId w:val="1"/>
        </w:num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Reference List Citation: </w:t>
      </w:r>
    </w:p>
    <w:p w:rsidR="005F6A86" w:rsidRDefault="005F6A86" w:rsidP="005F6A86">
      <w:pPr>
        <w:autoSpaceDE w:val="0"/>
        <w:autoSpaceDN w:val="0"/>
        <w:adjustRightInd w:val="0"/>
        <w:spacing w:after="0"/>
        <w:ind w:left="1560" w:hanging="851"/>
        <w:jc w:val="left"/>
        <w:rPr>
          <w:color w:val="000000"/>
          <w:sz w:val="18"/>
          <w:szCs w:val="18"/>
          <w:lang w:val="en-MY" w:eastAsia="en-MY"/>
        </w:rPr>
      </w:pPr>
      <w:r w:rsidRPr="000D45E5">
        <w:rPr>
          <w:color w:val="000000"/>
          <w:sz w:val="18"/>
          <w:szCs w:val="18"/>
          <w:lang w:val="en-MY" w:eastAsia="en-MY"/>
        </w:rPr>
        <w:t xml:space="preserve">Newton, W. (1999). Return to Mars. In C. Mari (Ed.), </w:t>
      </w:r>
      <w:r w:rsidRPr="000D45E5">
        <w:rPr>
          <w:i/>
          <w:iCs/>
          <w:color w:val="000000"/>
          <w:sz w:val="18"/>
          <w:szCs w:val="18"/>
          <w:lang w:val="en-MY" w:eastAsia="en-MY"/>
        </w:rPr>
        <w:t xml:space="preserve">Space Exploration </w:t>
      </w:r>
      <w:r w:rsidRPr="000D45E5">
        <w:rPr>
          <w:color w:val="000000"/>
          <w:sz w:val="18"/>
          <w:szCs w:val="18"/>
          <w:lang w:val="en-MY" w:eastAsia="en-MY"/>
        </w:rPr>
        <w:t xml:space="preserve">(pp. 32- 41). New York, NY: H.W. Wilson. (Reprinted from </w:t>
      </w:r>
      <w:r w:rsidRPr="000D45E5">
        <w:rPr>
          <w:i/>
          <w:iCs/>
          <w:color w:val="000000"/>
          <w:sz w:val="18"/>
          <w:szCs w:val="18"/>
          <w:lang w:val="en-MY" w:eastAsia="en-MY"/>
        </w:rPr>
        <w:t>National Geographic</w:t>
      </w:r>
      <w:r w:rsidRPr="000D45E5">
        <w:rPr>
          <w:color w:val="000000"/>
          <w:sz w:val="18"/>
          <w:szCs w:val="18"/>
          <w:lang w:val="en-MY" w:eastAsia="en-MY"/>
        </w:rPr>
        <w:t xml:space="preserve">, pp. 2-26, August 1998). </w:t>
      </w:r>
    </w:p>
    <w:p w:rsidR="005F6A86" w:rsidRPr="000D45E5" w:rsidRDefault="005F6A86" w:rsidP="005F6A86">
      <w:pPr>
        <w:numPr>
          <w:ilvl w:val="0"/>
          <w:numId w:val="1"/>
        </w:numPr>
        <w:autoSpaceDE w:val="0"/>
        <w:autoSpaceDN w:val="0"/>
        <w:adjustRightInd w:val="0"/>
        <w:spacing w:after="0"/>
        <w:jc w:val="left"/>
        <w:rPr>
          <w:color w:val="000000"/>
          <w:sz w:val="18"/>
          <w:szCs w:val="18"/>
          <w:lang w:val="en-MY" w:eastAsia="en-MY"/>
        </w:rPr>
      </w:pPr>
      <w:r w:rsidRPr="000D45E5">
        <w:rPr>
          <w:color w:val="000000"/>
          <w:sz w:val="18"/>
          <w:szCs w:val="18"/>
          <w:lang w:val="en-MY" w:eastAsia="en-MY"/>
        </w:rPr>
        <w:t xml:space="preserve">In this example of a reprinted book review, the author of the book is named first, followed by the editor of the reprinting source, then the reviewer. In your parenthetical citation, it is necessary to name the author of the book, while the reviewer is named to distinguish from other reviews of this book. </w:t>
      </w:r>
    </w:p>
    <w:p w:rsidR="005F485E" w:rsidRPr="005F6A86" w:rsidRDefault="005F485E" w:rsidP="005F6A86"/>
    <w:sectPr w:rsidR="005F485E" w:rsidRPr="005F6A86" w:rsidSect="00321FF0">
      <w:footerReference w:type="default" r:id="rId10"/>
      <w:pgSz w:w="12240" w:h="15840"/>
      <w:pgMar w:top="1440" w:right="1077" w:bottom="1440" w:left="1077"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8E" w:rsidRDefault="004F798E" w:rsidP="00E528FA">
      <w:pPr>
        <w:spacing w:after="0"/>
      </w:pPr>
      <w:r>
        <w:separator/>
      </w:r>
    </w:p>
  </w:endnote>
  <w:endnote w:type="continuationSeparator" w:id="0">
    <w:p w:rsidR="004F798E" w:rsidRDefault="004F798E" w:rsidP="00E52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28" w:rsidRPr="00284F2C" w:rsidRDefault="00486528" w:rsidP="00486528">
    <w:pPr>
      <w:pStyle w:val="Footer"/>
      <w:jc w:val="center"/>
      <w:rPr>
        <w:color w:val="5B9BD5"/>
      </w:rPr>
    </w:pPr>
    <w:r w:rsidRPr="00284F2C">
      <w:rPr>
        <w:color w:val="5B9BD5"/>
      </w:rPr>
      <w:t xml:space="preserve">Journal of Occupational Safety and Health </w:t>
    </w:r>
  </w:p>
  <w:p w:rsidR="00486528" w:rsidRDefault="004865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8E" w:rsidRDefault="004F798E" w:rsidP="00E528FA">
      <w:pPr>
        <w:spacing w:after="0"/>
      </w:pPr>
      <w:r>
        <w:separator/>
      </w:r>
    </w:p>
  </w:footnote>
  <w:footnote w:type="continuationSeparator" w:id="0">
    <w:p w:rsidR="004F798E" w:rsidRDefault="004F798E" w:rsidP="00E528F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F2B"/>
    <w:multiLevelType w:val="multilevel"/>
    <w:tmpl w:val="5C2CA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B5B5F10"/>
    <w:multiLevelType w:val="hybridMultilevel"/>
    <w:tmpl w:val="5344C7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0MDA3tzAxN7Y0tjBT0lEKTi0uzszPAykwrgUAUIlqdSwAAAA="/>
  </w:docVars>
  <w:rsids>
    <w:rsidRoot w:val="00E528FA"/>
    <w:rsid w:val="00053703"/>
    <w:rsid w:val="001329B8"/>
    <w:rsid w:val="002F1524"/>
    <w:rsid w:val="00321FF0"/>
    <w:rsid w:val="003730EB"/>
    <w:rsid w:val="00486528"/>
    <w:rsid w:val="004F798E"/>
    <w:rsid w:val="005F485E"/>
    <w:rsid w:val="005F6A86"/>
    <w:rsid w:val="00746614"/>
    <w:rsid w:val="00C447CA"/>
    <w:rsid w:val="00D72D1F"/>
    <w:rsid w:val="00E528F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271B3"/>
  <w15:chartTrackingRefBased/>
  <w15:docId w15:val="{56EB8DF8-2C62-4E32-8084-16853536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FA"/>
    <w:pPr>
      <w:spacing w:after="120" w:line="240" w:lineRule="auto"/>
      <w:jc w:val="both"/>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E528FA"/>
    <w:pPr>
      <w:keepNext/>
      <w:spacing w:before="360" w:after="240"/>
      <w:jc w:val="left"/>
      <w:outlineLvl w:val="0"/>
    </w:pPr>
    <w:rPr>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FA"/>
    <w:rPr>
      <w:rFonts w:ascii="Times New Roman" w:eastAsia="Times New Roman" w:hAnsi="Times New Roman" w:cs="Times New Roman"/>
      <w:b/>
      <w:bCs/>
      <w:kern w:val="32"/>
      <w:szCs w:val="32"/>
      <w:lang w:val="en-US"/>
    </w:rPr>
  </w:style>
  <w:style w:type="paragraph" w:styleId="Header">
    <w:name w:val="header"/>
    <w:basedOn w:val="Normal"/>
    <w:link w:val="HeaderChar"/>
    <w:rsid w:val="00E528FA"/>
    <w:pPr>
      <w:tabs>
        <w:tab w:val="center" w:pos="4320"/>
        <w:tab w:val="right" w:pos="8640"/>
      </w:tabs>
    </w:pPr>
  </w:style>
  <w:style w:type="character" w:customStyle="1" w:styleId="HeaderChar">
    <w:name w:val="Header Char"/>
    <w:basedOn w:val="DefaultParagraphFont"/>
    <w:link w:val="Header"/>
    <w:rsid w:val="00E528FA"/>
    <w:rPr>
      <w:rFonts w:ascii="Times New Roman" w:eastAsia="Times New Roman" w:hAnsi="Times New Roman" w:cs="Times New Roman"/>
      <w:sz w:val="20"/>
      <w:szCs w:val="20"/>
      <w:lang w:val="en-US"/>
    </w:rPr>
  </w:style>
  <w:style w:type="paragraph" w:styleId="Footer">
    <w:name w:val="footer"/>
    <w:basedOn w:val="Normal"/>
    <w:link w:val="FooterChar"/>
    <w:qFormat/>
    <w:rsid w:val="00E528FA"/>
    <w:pPr>
      <w:tabs>
        <w:tab w:val="center" w:pos="4320"/>
        <w:tab w:val="right" w:pos="8640"/>
      </w:tabs>
    </w:pPr>
  </w:style>
  <w:style w:type="character" w:customStyle="1" w:styleId="FooterChar">
    <w:name w:val="Footer Char"/>
    <w:basedOn w:val="DefaultParagraphFont"/>
    <w:link w:val="Footer"/>
    <w:rsid w:val="00E528FA"/>
    <w:rPr>
      <w:rFonts w:ascii="Times New Roman" w:eastAsia="Times New Roman" w:hAnsi="Times New Roman" w:cs="Times New Roman"/>
      <w:sz w:val="20"/>
      <w:szCs w:val="20"/>
      <w:lang w:val="en-US"/>
    </w:rPr>
  </w:style>
  <w:style w:type="character" w:styleId="Hyperlink">
    <w:name w:val="Hyperlink"/>
    <w:uiPriority w:val="99"/>
    <w:unhideWhenUsed/>
    <w:rsid w:val="00E528FA"/>
    <w:rPr>
      <w:color w:val="0000FF"/>
      <w:u w:val="single"/>
    </w:rPr>
  </w:style>
  <w:style w:type="paragraph" w:styleId="NoSpacing">
    <w:name w:val="No Spacing"/>
    <w:uiPriority w:val="1"/>
    <w:qFormat/>
    <w:rsid w:val="00E528FA"/>
    <w:pPr>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js.lib.swin.edu.au/index.php/fd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1574</Words>
  <Characters>8976</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1.0 INTRODUCTION (11 BOLD)</vt:lpstr>
      <vt:lpstr>2.0 HEADINGS (11 BOLD)</vt:lpstr>
      <vt:lpstr>3.0 METHOD (11 BOLD)</vt:lpstr>
      <vt:lpstr>4.0 RESULTS (11 BOLD)</vt:lpstr>
      <vt:lpstr>5.0 DISCUSSIONS (11 BOLD)</vt:lpstr>
      <vt:lpstr>6.0 CONCLUSION (11 BOLD)</vt:lpstr>
      <vt:lpstr>ACKNOWLEDGEMENTS (11 BOLD)</vt:lpstr>
      <vt:lpstr>REFERENCES (11 BOLD)</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2023-06-13T03:32:00Z</dcterms:created>
  <dcterms:modified xsi:type="dcterms:W3CDTF">2023-07-18T02:09:00Z</dcterms:modified>
</cp:coreProperties>
</file>